
<file path=[Content_Types].xml><?xml version="1.0" encoding="utf-8"?>
<Types xmlns="http://schemas.openxmlformats.org/package/2006/content-types">
  <Default Extension="bin" ContentType="application/vnd.openxmlformats-officedocument.oleObject"/>
  <Override PartName="/word/charts/chart10.xml" ContentType="application/vnd.openxmlformats-officedocument.drawingml.chart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C" w:rsidRDefault="002D10DC" w:rsidP="002D10DC">
      <w:pPr>
        <w:pStyle w:val="a3"/>
        <w:ind w:firstLine="567"/>
        <w:rPr>
          <w:b w:val="0"/>
        </w:rPr>
      </w:pPr>
      <w:r>
        <w:rPr>
          <w:b w:val="0"/>
        </w:rPr>
        <w:t>Министерство здравоохранения Республики Беларусь</w:t>
      </w:r>
    </w:p>
    <w:p w:rsidR="002D10DC" w:rsidRDefault="002D10DC" w:rsidP="002D10DC">
      <w:pPr>
        <w:pStyle w:val="a5"/>
      </w:pPr>
      <w:r>
        <w:t>Учреждение здравоохранения</w:t>
      </w:r>
    </w:p>
    <w:p w:rsidR="002D10DC" w:rsidRDefault="002D10DC" w:rsidP="002D10DC">
      <w:pPr>
        <w:pStyle w:val="a5"/>
      </w:pPr>
      <w:r>
        <w:t>«Могилёвский зональный центр гигиены и эпидемиологии»</w:t>
      </w:r>
    </w:p>
    <w:p w:rsidR="002D10DC" w:rsidRDefault="002D10DC" w:rsidP="002D10DC">
      <w:pPr>
        <w:ind w:firstLine="567"/>
        <w:jc w:val="center"/>
        <w:rPr>
          <w:sz w:val="36"/>
        </w:rPr>
      </w:pPr>
    </w:p>
    <w:p w:rsidR="002D10DC" w:rsidRDefault="002D10DC" w:rsidP="002D10DC">
      <w:pPr>
        <w:ind w:firstLine="567"/>
        <w:jc w:val="center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pStyle w:val="6"/>
      </w:pPr>
      <w:r>
        <w:t>Здоровье населения</w:t>
      </w:r>
    </w:p>
    <w:p w:rsidR="002D10DC" w:rsidRDefault="002D10DC" w:rsidP="002D10DC">
      <w:pPr>
        <w:ind w:firstLine="567"/>
        <w:jc w:val="center"/>
        <w:rPr>
          <w:b/>
          <w:sz w:val="52"/>
        </w:rPr>
      </w:pPr>
      <w:r>
        <w:rPr>
          <w:b/>
          <w:sz w:val="52"/>
        </w:rPr>
        <w:t>и окружающая среда</w:t>
      </w:r>
    </w:p>
    <w:p w:rsidR="002D10DC" w:rsidRDefault="002D10DC" w:rsidP="002D10DC">
      <w:pPr>
        <w:ind w:firstLine="567"/>
        <w:jc w:val="center"/>
        <w:rPr>
          <w:b/>
          <w:sz w:val="52"/>
        </w:rPr>
      </w:pPr>
      <w:r>
        <w:rPr>
          <w:b/>
          <w:sz w:val="52"/>
        </w:rPr>
        <w:t xml:space="preserve">на территории </w:t>
      </w:r>
      <w:proofErr w:type="gramStart"/>
      <w:r>
        <w:rPr>
          <w:b/>
          <w:sz w:val="52"/>
        </w:rPr>
        <w:t>г</w:t>
      </w:r>
      <w:proofErr w:type="gramEnd"/>
      <w:r>
        <w:rPr>
          <w:b/>
          <w:sz w:val="52"/>
        </w:rPr>
        <w:t>. Могилева</w:t>
      </w:r>
    </w:p>
    <w:p w:rsidR="002D10DC" w:rsidRDefault="002D10DC" w:rsidP="002D10DC">
      <w:pPr>
        <w:ind w:firstLine="567"/>
        <w:jc w:val="center"/>
        <w:rPr>
          <w:b/>
          <w:sz w:val="52"/>
        </w:rPr>
      </w:pPr>
      <w:r>
        <w:rPr>
          <w:b/>
          <w:sz w:val="52"/>
        </w:rPr>
        <w:t>в 2008 году</w:t>
      </w:r>
    </w:p>
    <w:p w:rsidR="002D10DC" w:rsidRDefault="002D10DC" w:rsidP="002D10DC">
      <w:pPr>
        <w:ind w:firstLine="567"/>
        <w:jc w:val="both"/>
        <w:rPr>
          <w:sz w:val="36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both"/>
        <w:rPr>
          <w:sz w:val="32"/>
        </w:rPr>
      </w:pPr>
    </w:p>
    <w:p w:rsidR="002D10DC" w:rsidRDefault="002D10DC" w:rsidP="002D10DC">
      <w:pPr>
        <w:ind w:firstLine="567"/>
        <w:jc w:val="center"/>
        <w:rPr>
          <w:sz w:val="32"/>
        </w:rPr>
      </w:pPr>
    </w:p>
    <w:p w:rsidR="002D10DC" w:rsidRDefault="002D10DC" w:rsidP="002D10DC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Могилёв 2009</w:t>
      </w: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  <w:r>
        <w:br w:type="page"/>
      </w: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  <w:r>
        <w:t>Авторский коллектив:</w:t>
      </w:r>
    </w:p>
    <w:p w:rsidR="002D10DC" w:rsidRDefault="002D10DC" w:rsidP="002D10DC">
      <w:pPr>
        <w:ind w:firstLine="567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1843"/>
        <w:gridCol w:w="7762"/>
      </w:tblGrid>
      <w:tr w:rsidR="002D10DC" w:rsidTr="00792298">
        <w:tc>
          <w:tcPr>
            <w:tcW w:w="1843" w:type="dxa"/>
          </w:tcPr>
          <w:p w:rsidR="002D10DC" w:rsidRDefault="002D10DC" w:rsidP="00792298">
            <w:pPr>
              <w:pStyle w:val="a7"/>
              <w:tabs>
                <w:tab w:val="clear" w:pos="4153"/>
                <w:tab w:val="clear" w:pos="8306"/>
              </w:tabs>
            </w:pPr>
            <w:proofErr w:type="spellStart"/>
            <w:r>
              <w:t>Шуляк</w:t>
            </w:r>
            <w:proofErr w:type="spellEnd"/>
            <w:r>
              <w:t xml:space="preserve"> В. К</w:t>
            </w:r>
          </w:p>
        </w:tc>
        <w:tc>
          <w:tcPr>
            <w:tcW w:w="7762" w:type="dxa"/>
          </w:tcPr>
          <w:p w:rsidR="002D10DC" w:rsidRDefault="002D10DC" w:rsidP="00792298">
            <w:pPr>
              <w:pStyle w:val="a7"/>
              <w:tabs>
                <w:tab w:val="clear" w:pos="4153"/>
                <w:tab w:val="clear" w:pos="8306"/>
              </w:tabs>
            </w:pPr>
            <w:r>
              <w:t>- Главный государственный санитарный  врач г</w:t>
            </w:r>
            <w:proofErr w:type="gramStart"/>
            <w:r>
              <w:t>.М</w:t>
            </w:r>
            <w:proofErr w:type="gramEnd"/>
            <w:r>
              <w:t>огилева и Могилевского района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Яковлева М. В.</w:t>
            </w:r>
          </w:p>
        </w:tc>
        <w:tc>
          <w:tcPr>
            <w:tcW w:w="7762" w:type="dxa"/>
          </w:tcPr>
          <w:p w:rsidR="002D10DC" w:rsidRDefault="002D10DC" w:rsidP="00792298">
            <w:r>
              <w:t>-  зав. отделением социально-</w:t>
            </w:r>
            <w:r>
              <w:rPr>
                <w:b/>
              </w:rPr>
              <w:t xml:space="preserve"> </w:t>
            </w:r>
            <w:r>
              <w:t xml:space="preserve">гигиенического мониторинга 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Просолович</w:t>
            </w:r>
            <w:proofErr w:type="spellEnd"/>
            <w:r>
              <w:t xml:space="preserve"> Н. А.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эпидемиологическим отделом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Орлова И.Н.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отделом гигиены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Астапчик</w:t>
            </w:r>
            <w:proofErr w:type="spellEnd"/>
            <w:r>
              <w:t xml:space="preserve"> А. В.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отделением гигиены труда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Беседина Г. П.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отделением гигиены питания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Солдатенко</w:t>
            </w:r>
            <w:proofErr w:type="spellEnd"/>
            <w:r>
              <w:t xml:space="preserve"> Л. К.</w:t>
            </w:r>
          </w:p>
        </w:tc>
        <w:tc>
          <w:tcPr>
            <w:tcW w:w="7762" w:type="dxa"/>
          </w:tcPr>
          <w:p w:rsidR="002D10DC" w:rsidRDefault="002D10DC" w:rsidP="00792298">
            <w:r>
              <w:t>- ведущий инженер лаборатории физических факторов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Шуплецова</w:t>
            </w:r>
            <w:proofErr w:type="spellEnd"/>
            <w:r>
              <w:t xml:space="preserve"> Т. В.</w:t>
            </w:r>
          </w:p>
        </w:tc>
        <w:tc>
          <w:tcPr>
            <w:tcW w:w="7762" w:type="dxa"/>
          </w:tcPr>
          <w:p w:rsidR="002D10DC" w:rsidRDefault="002D10DC" w:rsidP="00792298">
            <w:r>
              <w:t>- врач-гигиенист отделения коммунальной гигиены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Воронова О.Э.</w:t>
            </w:r>
          </w:p>
        </w:tc>
        <w:tc>
          <w:tcPr>
            <w:tcW w:w="7762" w:type="dxa"/>
          </w:tcPr>
          <w:p w:rsidR="002D10DC" w:rsidRDefault="002D10DC" w:rsidP="00792298">
            <w:r>
              <w:t>- и.о. зав. отделением гигиены детей и подростков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Нестеренко Н. М.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лабораторией санитарно-химических и токсикологических методов исследований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Лопатина В. В.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микробиологической лабораторией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Качалин О.А.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зав. отделением радиационной гигиены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Климова Н.П.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зам гл</w:t>
            </w:r>
            <w:proofErr w:type="gramStart"/>
            <w:r>
              <w:t>.в</w:t>
            </w:r>
            <w:proofErr w:type="gramEnd"/>
            <w:r>
              <w:t>рача УЗ «Могилевская центральная поликлиника»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r>
              <w:t>Иванова Г.А.</w:t>
            </w:r>
          </w:p>
        </w:tc>
        <w:tc>
          <w:tcPr>
            <w:tcW w:w="7762" w:type="dxa"/>
          </w:tcPr>
          <w:p w:rsidR="002D10DC" w:rsidRDefault="002D10DC" w:rsidP="00792298">
            <w:r>
              <w:t>- зам гл</w:t>
            </w:r>
            <w:proofErr w:type="gramStart"/>
            <w:r>
              <w:t>.в</w:t>
            </w:r>
            <w:proofErr w:type="gramEnd"/>
            <w:r>
              <w:t xml:space="preserve">рача УЗ «Могилевская центральная поликлиника» 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Бородько</w:t>
            </w:r>
            <w:proofErr w:type="spellEnd"/>
            <w:r>
              <w:t xml:space="preserve"> И.В.</w:t>
            </w:r>
          </w:p>
        </w:tc>
        <w:tc>
          <w:tcPr>
            <w:tcW w:w="7762" w:type="dxa"/>
          </w:tcPr>
          <w:p w:rsidR="002D10DC" w:rsidRDefault="002D10DC" w:rsidP="00792298">
            <w:r>
              <w:t>-зам. начальника Могилевской городской инспекции природных ресурсов и охраны окружающей среды</w:t>
            </w:r>
          </w:p>
        </w:tc>
      </w:tr>
      <w:tr w:rsidR="002D10DC" w:rsidTr="00792298">
        <w:tc>
          <w:tcPr>
            <w:tcW w:w="1843" w:type="dxa"/>
          </w:tcPr>
          <w:p w:rsidR="002D10DC" w:rsidRDefault="002D10DC" w:rsidP="00792298">
            <w:proofErr w:type="spellStart"/>
            <w:r>
              <w:t>Толпинская</w:t>
            </w:r>
            <w:proofErr w:type="spellEnd"/>
            <w:r>
              <w:t xml:space="preserve"> О.Е.</w:t>
            </w:r>
          </w:p>
        </w:tc>
        <w:tc>
          <w:tcPr>
            <w:tcW w:w="7762" w:type="dxa"/>
          </w:tcPr>
          <w:p w:rsidR="002D10DC" w:rsidRDefault="002D10DC" w:rsidP="00792298">
            <w:r>
              <w:t>-начальник лаборатории экологического мониторинга ГУ «</w:t>
            </w:r>
            <w:proofErr w:type="spellStart"/>
            <w:r>
              <w:t>Могилевоблгидромет</w:t>
            </w:r>
            <w:proofErr w:type="spellEnd"/>
            <w:r>
              <w:t>»</w:t>
            </w:r>
          </w:p>
        </w:tc>
      </w:tr>
    </w:tbl>
    <w:p w:rsidR="002D10DC" w:rsidRDefault="002D10DC" w:rsidP="002D10DC">
      <w:pPr>
        <w:tabs>
          <w:tab w:val="left" w:pos="1418"/>
          <w:tab w:val="left" w:pos="3119"/>
        </w:tabs>
        <w:ind w:firstLine="567"/>
        <w:jc w:val="both"/>
      </w:pPr>
      <w:r>
        <w:t xml:space="preserve"> </w:t>
      </w:r>
      <w:r>
        <w:tab/>
      </w:r>
      <w:r>
        <w:tab/>
      </w:r>
    </w:p>
    <w:p w:rsidR="002D10DC" w:rsidRDefault="002D10DC" w:rsidP="002D10DC">
      <w:pPr>
        <w:ind w:firstLine="567"/>
        <w:jc w:val="both"/>
      </w:pPr>
    </w:p>
    <w:p w:rsidR="002D10DC" w:rsidRDefault="002D10DC" w:rsidP="002D10DC">
      <w:pPr>
        <w:ind w:firstLine="567"/>
        <w:jc w:val="both"/>
      </w:pPr>
      <w:r>
        <w:t>Настоящий документ предназначен для научных и практических работников здравоохранения и администраций территорий.</w:t>
      </w:r>
    </w:p>
    <w:p w:rsidR="002D10DC" w:rsidRDefault="002D10DC" w:rsidP="002D10DC">
      <w:pPr>
        <w:ind w:firstLine="567"/>
        <w:jc w:val="both"/>
      </w:pPr>
      <w:r>
        <w:t>При использовании материалов из данной работы ссылки обязательны.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</w:pPr>
    </w:p>
    <w:p w:rsidR="002D10DC" w:rsidRDefault="002D10DC" w:rsidP="002D10DC">
      <w:pPr>
        <w:ind w:firstLine="567"/>
        <w:jc w:val="both"/>
        <w:rPr>
          <w:lang w:val="en-US"/>
        </w:rPr>
      </w:pPr>
      <w:r>
        <w:t>Оформители</w:t>
      </w:r>
      <w:r>
        <w:rPr>
          <w:lang w:val="en-US"/>
        </w:rPr>
        <w:t>:</w:t>
      </w:r>
    </w:p>
    <w:p w:rsidR="002D10DC" w:rsidRDefault="002D10DC" w:rsidP="002D10DC">
      <w:pPr>
        <w:ind w:firstLine="567"/>
        <w:jc w:val="both"/>
      </w:pPr>
    </w:p>
    <w:tbl>
      <w:tblPr>
        <w:tblW w:w="0" w:type="auto"/>
        <w:tblInd w:w="1101" w:type="dxa"/>
        <w:tblLayout w:type="fixed"/>
        <w:tblLook w:val="0000"/>
      </w:tblPr>
      <w:tblGrid>
        <w:gridCol w:w="2238"/>
        <w:gridCol w:w="2581"/>
      </w:tblGrid>
      <w:tr w:rsidR="002D10DC" w:rsidTr="00792298">
        <w:trPr>
          <w:trHeight w:val="277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proofErr w:type="spellStart"/>
            <w:r>
              <w:t>Шкурченко</w:t>
            </w:r>
            <w:proofErr w:type="spellEnd"/>
            <w:r>
              <w:t xml:space="preserve"> Т.В.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proofErr w:type="spellStart"/>
            <w:r>
              <w:t>Болтикова</w:t>
            </w:r>
            <w:proofErr w:type="spellEnd"/>
            <w:r>
              <w:t xml:space="preserve"> А.В.</w:t>
            </w:r>
          </w:p>
        </w:tc>
      </w:tr>
      <w:tr w:rsidR="002D10DC" w:rsidTr="00792298">
        <w:trPr>
          <w:trHeight w:val="282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r>
              <w:t>Малахова Е. С.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r>
              <w:t>Прыжок О. Л.</w:t>
            </w:r>
          </w:p>
        </w:tc>
      </w:tr>
      <w:tr w:rsidR="002D10DC" w:rsidTr="00792298">
        <w:trPr>
          <w:trHeight w:val="299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proofErr w:type="spellStart"/>
            <w:r>
              <w:t>Лисова</w:t>
            </w:r>
            <w:proofErr w:type="spellEnd"/>
            <w:r>
              <w:t xml:space="preserve"> Т.В.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proofErr w:type="spellStart"/>
            <w:r>
              <w:t>Бородько</w:t>
            </w:r>
            <w:proofErr w:type="spellEnd"/>
            <w:r>
              <w:t xml:space="preserve"> С. В.</w:t>
            </w:r>
          </w:p>
        </w:tc>
      </w:tr>
      <w:tr w:rsidR="002D10DC" w:rsidTr="00792298">
        <w:trPr>
          <w:trHeight w:val="276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r>
              <w:t>Шевцова Л. Г.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r>
              <w:t>Мазан Т.А.</w:t>
            </w:r>
          </w:p>
        </w:tc>
      </w:tr>
      <w:tr w:rsidR="002D10DC" w:rsidTr="00792298">
        <w:trPr>
          <w:trHeight w:val="279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proofErr w:type="spellStart"/>
            <w:r>
              <w:t>Петрашевич</w:t>
            </w:r>
            <w:proofErr w:type="spellEnd"/>
            <w:r>
              <w:t xml:space="preserve"> С.Л.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r>
              <w:t>Станкевич Н.А.</w:t>
            </w:r>
          </w:p>
        </w:tc>
      </w:tr>
      <w:tr w:rsidR="002D10DC" w:rsidTr="00792298">
        <w:trPr>
          <w:trHeight w:val="279"/>
        </w:trPr>
        <w:tc>
          <w:tcPr>
            <w:tcW w:w="2238" w:type="dxa"/>
          </w:tcPr>
          <w:p w:rsidR="002D10DC" w:rsidRDefault="002D10DC" w:rsidP="00792298">
            <w:pPr>
              <w:jc w:val="both"/>
            </w:pPr>
            <w:proofErr w:type="spellStart"/>
            <w:r>
              <w:t>Шадькова</w:t>
            </w:r>
            <w:proofErr w:type="spellEnd"/>
            <w:r>
              <w:t xml:space="preserve"> Л.А.</w:t>
            </w:r>
          </w:p>
        </w:tc>
        <w:tc>
          <w:tcPr>
            <w:tcW w:w="2581" w:type="dxa"/>
          </w:tcPr>
          <w:p w:rsidR="002D10DC" w:rsidRDefault="002D10DC" w:rsidP="00792298">
            <w:pPr>
              <w:jc w:val="both"/>
            </w:pPr>
            <w:r>
              <w:t>Шишкова О.В.</w:t>
            </w:r>
          </w:p>
        </w:tc>
      </w:tr>
    </w:tbl>
    <w:p w:rsidR="002D10DC" w:rsidRDefault="002D10DC" w:rsidP="002D10DC"/>
    <w:p w:rsidR="002D10DC" w:rsidRDefault="002D10DC" w:rsidP="002D10DC">
      <w:pPr>
        <w:pStyle w:val="1"/>
        <w:ind w:firstLine="567"/>
      </w:pPr>
      <w:r>
        <w:br w:type="page"/>
      </w:r>
      <w:bookmarkStart w:id="0" w:name="_Toc200963097"/>
    </w:p>
    <w:p w:rsidR="002D10DC" w:rsidRDefault="002D10DC" w:rsidP="002D10DC">
      <w:pPr>
        <w:pStyle w:val="1"/>
        <w:ind w:firstLine="567"/>
      </w:pPr>
    </w:p>
    <w:p w:rsidR="002D10DC" w:rsidRDefault="002D10DC" w:rsidP="002D10DC">
      <w:pPr>
        <w:pStyle w:val="1"/>
        <w:ind w:firstLine="567"/>
        <w:rPr>
          <w:b/>
          <w:color w:val="000000"/>
        </w:rPr>
      </w:pPr>
      <w:bookmarkStart w:id="1" w:name="_Toc101154795"/>
      <w:bookmarkStart w:id="2" w:name="_Toc109223611"/>
      <w:bookmarkStart w:id="3" w:name="_Toc110070074"/>
      <w:bookmarkStart w:id="4" w:name="_Toc136949091"/>
      <w:bookmarkStart w:id="5" w:name="_Toc168211359"/>
      <w:bookmarkStart w:id="6" w:name="_Toc200963096"/>
      <w:r>
        <w:rPr>
          <w:b/>
          <w:color w:val="000000"/>
        </w:rPr>
        <w:t>Введение</w:t>
      </w:r>
      <w:bookmarkEnd w:id="1"/>
      <w:bookmarkEnd w:id="2"/>
      <w:bookmarkEnd w:id="3"/>
      <w:bookmarkEnd w:id="4"/>
      <w:bookmarkEnd w:id="5"/>
      <w:bookmarkEnd w:id="6"/>
    </w:p>
    <w:p w:rsidR="002D10DC" w:rsidRDefault="002D10DC" w:rsidP="002D10DC">
      <w:pPr>
        <w:ind w:firstLine="567"/>
        <w:rPr>
          <w:color w:val="000000"/>
          <w:sz w:val="24"/>
        </w:rPr>
      </w:pPr>
    </w:p>
    <w:p w:rsidR="002D10DC" w:rsidRDefault="002D10DC" w:rsidP="002D10DC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В современных условиях здоровье населения во многом опреде</w:t>
      </w:r>
      <w:r>
        <w:rPr>
          <w:sz w:val="24"/>
        </w:rPr>
        <w:softHyphen/>
        <w:t>ляется его санитарно-эпидемиологическим благополучием, реальным обеспечением права на безопасную среду обитания. Именно санитарно-эпидемиологическая служба стоит на переднем рубеже борьбы за обеспечение этого жизненно важного права.</w:t>
      </w:r>
    </w:p>
    <w:p w:rsidR="002D10DC" w:rsidRDefault="002D10DC" w:rsidP="002D10DC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Сегодня, в период социально-экономических преобразований, главная задача - оценить состояние здоровья населения, наметить пути выхода из сложившегося непростого положения и оценить приоритеты.</w:t>
      </w:r>
    </w:p>
    <w:p w:rsidR="002D10DC" w:rsidRDefault="002D10DC" w:rsidP="002D10DC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Эпидемическая ситуация по инфекционным и паразитарным заболеваниям характеризуется как напряженная, но контролируемая. Достигнуто снижение заболеваемости острыми кишечными инфекциями, сальмонеллезом, вирусными гепатитами. Выполнены показатели иммунопрофилактики, что дало возможность поддерживать стабильное эпидемическое благополучие по большинству «управляемых» инфекций: дифтерии, столбняку, кори, полиомиелиту. Не допущено на территории города заболеваний особо опасными инфекциями.</w:t>
      </w:r>
    </w:p>
    <w:p w:rsidR="002D10DC" w:rsidRDefault="002D10DC" w:rsidP="002D10DC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 xml:space="preserve">Стратегические цели в области охраны здоровья и среды обитания, профилактики заболеваемости населения определены Законом Республики Беларусь «О санитарно-эпидемическом благополучии населения». Достижение этих масштабных целей требует от государства и общества, работников здравоохранения огромных усилий. Поэтому особо </w:t>
      </w:r>
      <w:proofErr w:type="gramStart"/>
      <w:r>
        <w:rPr>
          <w:sz w:val="24"/>
        </w:rPr>
        <w:t>важное значение</w:t>
      </w:r>
      <w:proofErr w:type="gramEnd"/>
      <w:r>
        <w:rPr>
          <w:sz w:val="24"/>
        </w:rPr>
        <w:t xml:space="preserve"> приобретает активная работа по безусловному выполнению Государственной программы «Здоровье народа», в которой во</w:t>
      </w:r>
      <w:r>
        <w:rPr>
          <w:sz w:val="24"/>
        </w:rPr>
        <w:softHyphen/>
        <w:t>просы борьбы с инфекционными болезнями и профилактики заболеваний, обусловленных влиянием неблагоприятных факторов среды обитания, нашли свое отражение.</w:t>
      </w:r>
    </w:p>
    <w:p w:rsidR="002D10DC" w:rsidRDefault="002D10DC" w:rsidP="002D10DC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Материалы доклада должны явиться основой для разработки территориальных программ, местных планов действий по гигиене окружающей среды, а также совершенствования деятельности учреждений здравоохранения.</w:t>
      </w:r>
    </w:p>
    <w:p w:rsidR="002D10DC" w:rsidRDefault="002D10DC" w:rsidP="002D10DC">
      <w:pPr>
        <w:pStyle w:val="1"/>
        <w:ind w:firstLine="567"/>
        <w:rPr>
          <w:b/>
        </w:rPr>
      </w:pPr>
      <w:r>
        <w:br w:type="page"/>
      </w:r>
      <w:r>
        <w:rPr>
          <w:b/>
          <w:color w:val="000000"/>
        </w:rPr>
        <w:lastRenderedPageBreak/>
        <w:t xml:space="preserve">  1. Состояние здоровья населения</w:t>
      </w:r>
      <w:bookmarkEnd w:id="0"/>
    </w:p>
    <w:p w:rsidR="002D10DC" w:rsidRDefault="002D10DC" w:rsidP="002D10DC">
      <w:pPr>
        <w:ind w:firstLine="567"/>
        <w:rPr>
          <w:color w:val="000000"/>
          <w:sz w:val="28"/>
        </w:rPr>
      </w:pPr>
    </w:p>
    <w:p w:rsidR="002D10DC" w:rsidRDefault="002D10DC" w:rsidP="002D10DC">
      <w:pPr>
        <w:pStyle w:val="2"/>
        <w:spacing w:line="240" w:lineRule="auto"/>
        <w:ind w:firstLine="567"/>
        <w:jc w:val="left"/>
        <w:rPr>
          <w:color w:val="000000"/>
        </w:rPr>
      </w:pPr>
      <w:bookmarkStart w:id="7" w:name="_Toc101154797"/>
      <w:bookmarkStart w:id="8" w:name="_Toc136949093"/>
      <w:bookmarkStart w:id="9" w:name="_Toc168211361"/>
      <w:bookmarkStart w:id="10" w:name="_Toc200963098"/>
      <w:r>
        <w:rPr>
          <w:color w:val="000000"/>
        </w:rPr>
        <w:t xml:space="preserve">1.1. </w:t>
      </w:r>
      <w:proofErr w:type="spellStart"/>
      <w:r>
        <w:rPr>
          <w:color w:val="000000"/>
        </w:rPr>
        <w:t>Медико</w:t>
      </w:r>
      <w:proofErr w:type="spellEnd"/>
      <w:r>
        <w:rPr>
          <w:color w:val="000000"/>
        </w:rPr>
        <w:t>–демографическая ситуация</w:t>
      </w:r>
      <w:bookmarkEnd w:id="7"/>
      <w:bookmarkEnd w:id="8"/>
      <w:bookmarkEnd w:id="9"/>
      <w:bookmarkEnd w:id="10"/>
    </w:p>
    <w:p w:rsidR="002D10DC" w:rsidRDefault="002D10DC" w:rsidP="002D10DC">
      <w:pPr>
        <w:ind w:firstLine="567"/>
        <w:jc w:val="both"/>
        <w:rPr>
          <w:color w:val="000000"/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В результате работы, проделанной медработниками, органами власти и управления города по реализации мероприятий Национальной программы демографической безопасности РБ,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 Могилеве наметилась тенденция к росту отдельных показателей, характеризующих улучшение демографических процессов в обществе. В 2008г. р</w:t>
      </w:r>
      <w:r>
        <w:rPr>
          <w:b/>
          <w:sz w:val="24"/>
        </w:rPr>
        <w:t>ождаемость</w:t>
      </w:r>
      <w:r>
        <w:rPr>
          <w:sz w:val="24"/>
        </w:rPr>
        <w:t xml:space="preserve">  увеличилась на 4,6% (11,06 на 1000 чел. в 2008г., 10,57 – в 2007г.) (рис. 1). Родилось 4115 детей, в т.ч. 2086 мальчиков и 2029 девочек.  Рост показателя рождаемости наблюдается с 2006г. В  2008 году родилось на 859 детей больше, чем в 2005г., когда  регистрировалась самая низкая рождаемость 3240 детей (8,6 на 1000 чел.), 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b/>
          <w:sz w:val="24"/>
        </w:rPr>
        <w:t>Смертность</w:t>
      </w:r>
      <w:r>
        <w:rPr>
          <w:sz w:val="24"/>
        </w:rPr>
        <w:t xml:space="preserve"> возросла на 3,96% (с 9,95 до 10,36 на 1000 чел): показатель естественного движения населения вырос с 0,59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0,7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счет роста рождаемости (рис. 1). Следует подчеркнуть, что в 2008г. мужчин родилось на 5 человек меньше, чем умерло. Среди женщин рождаемость  на 266 человек  превысила смертность.</w:t>
      </w:r>
    </w:p>
    <w:p w:rsidR="002D10DC" w:rsidRDefault="002D10DC" w:rsidP="002D10DC">
      <w:pPr>
        <w:ind w:firstLine="180"/>
        <w:rPr>
          <w:b/>
          <w:color w:val="000000"/>
          <w:sz w:val="16"/>
        </w:rPr>
      </w:pPr>
      <w:r>
        <w:rPr>
          <w:noProof/>
        </w:rPr>
        <w:drawing>
          <wp:inline distT="0" distB="0" distL="0" distR="0">
            <wp:extent cx="5943600" cy="23717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b/>
          <w:color w:val="000000"/>
          <w:sz w:val="16"/>
        </w:rPr>
        <w:t xml:space="preserve">  </w:t>
      </w:r>
    </w:p>
    <w:p w:rsidR="002D10DC" w:rsidRDefault="002D10DC" w:rsidP="002D10D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Рис. 1. Динамика естественного движения населения города Могилева в 1990– 2008гг.</w:t>
      </w:r>
    </w:p>
    <w:p w:rsidR="002D10DC" w:rsidRDefault="002D10DC" w:rsidP="002D10DC">
      <w:pPr>
        <w:jc w:val="both"/>
        <w:rPr>
          <w:color w:val="000000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133350</wp:posOffset>
            </wp:positionH>
            <wp:positionV relativeFrom="paragraph">
              <wp:posOffset>731520</wp:posOffset>
            </wp:positionV>
            <wp:extent cx="5695950" cy="2064385"/>
            <wp:effectExtent l="0" t="0" r="0" b="0"/>
            <wp:wrapTopAndBottom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b/>
          <w:sz w:val="24"/>
        </w:rPr>
        <w:t>Младенческая и перинатальная смертность</w:t>
      </w:r>
      <w:r>
        <w:rPr>
          <w:sz w:val="24"/>
        </w:rPr>
        <w:t xml:space="preserve"> по городу снизилась (рис.2) и составила 2,4‰</w:t>
      </w:r>
      <w:r>
        <w:rPr>
          <w:sz w:val="13"/>
        </w:rPr>
        <w:t xml:space="preserve"> </w:t>
      </w:r>
      <w:r>
        <w:rPr>
          <w:sz w:val="24"/>
        </w:rPr>
        <w:t>(на 1000 чел.) и 2,8‰ (в 2007г. – 4,8‰</w:t>
      </w:r>
      <w:r>
        <w:rPr>
          <w:sz w:val="13"/>
        </w:rPr>
        <w:t xml:space="preserve"> </w:t>
      </w:r>
      <w:r>
        <w:rPr>
          <w:sz w:val="24"/>
        </w:rPr>
        <w:t xml:space="preserve"> и 3,8‰), что оценивается в сравнении с республиканским, областным  показателями, с показателями среди городов РБ, как «низкий уровень». Коэффициент детской смертности в возрасте до 5 лет уменьшился с 5,7% до 2,4%.</w:t>
      </w:r>
    </w:p>
    <w:p w:rsidR="002D10DC" w:rsidRDefault="002D10DC" w:rsidP="002D10DC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     Рис. 2. Динамика показателей младенческой  смертности в </w:t>
      </w:r>
      <w:proofErr w:type="gramStart"/>
      <w:r>
        <w:rPr>
          <w:b/>
          <w:color w:val="000000"/>
        </w:rPr>
        <w:t>г</w:t>
      </w:r>
      <w:proofErr w:type="gramEnd"/>
      <w:r>
        <w:rPr>
          <w:b/>
          <w:color w:val="000000"/>
        </w:rPr>
        <w:t>. Могилеве</w:t>
      </w:r>
    </w:p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По критериям оценки показателей естественного движения населения, такой уровень показателей рождаемости, смертности, младенческой смертности </w:t>
      </w:r>
      <w:r>
        <w:rPr>
          <w:i/>
          <w:sz w:val="24"/>
        </w:rPr>
        <w:t>характеризует начало движения демографических показателей от низкого уровня в сторону улучшения -  к   среднему</w:t>
      </w:r>
      <w:r>
        <w:rPr>
          <w:sz w:val="24"/>
        </w:rPr>
        <w:t xml:space="preserve"> (пока степень ниже средних, но выше низких).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Коэффициент рождаемости дает приближенное представление о процессе воспроизводства населения, т.к. исчисляется по отношению к численности всего населения. Поэтому следует рассмотреть общий коэффициент плодовитости или фертильности (число родившихся к численности женщин в возрасте 15-49 лет). </w:t>
      </w:r>
      <w:proofErr w:type="gramStart"/>
      <w:r>
        <w:rPr>
          <w:sz w:val="24"/>
        </w:rPr>
        <w:t xml:space="preserve">На протяжении последних 8 лет </w:t>
      </w:r>
      <w:r>
        <w:rPr>
          <w:b/>
          <w:sz w:val="24"/>
        </w:rPr>
        <w:t>коэффициент фертильности</w:t>
      </w:r>
      <w:r>
        <w:rPr>
          <w:sz w:val="24"/>
        </w:rPr>
        <w:t xml:space="preserve"> (плодовитости) колеблется, за последние 3 года наблюдается его рост (рис. 3).</w:t>
      </w:r>
      <w:proofErr w:type="gramEnd"/>
      <w:r>
        <w:rPr>
          <w:sz w:val="24"/>
        </w:rPr>
        <w:t xml:space="preserve"> Однако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с точки зрения воспроизводства населения он должен быть в 4-5 раз выше показателя рождаемости. В 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огилеве он несколько ниже общепринятых </w:t>
      </w:r>
      <w:proofErr w:type="spellStart"/>
      <w:r>
        <w:rPr>
          <w:sz w:val="24"/>
        </w:rPr>
        <w:t>критериальных</w:t>
      </w:r>
      <w:proofErr w:type="spellEnd"/>
      <w:r>
        <w:rPr>
          <w:sz w:val="24"/>
        </w:rPr>
        <w:t xml:space="preserve"> показателей (регистрируется  в 3,3 – 3,7 раза выше показателя рождаемости).  </w:t>
      </w:r>
    </w:p>
    <w:p w:rsidR="002D10DC" w:rsidRDefault="002D10DC" w:rsidP="002D10DC">
      <w:pPr>
        <w:ind w:firstLine="180"/>
        <w:jc w:val="both"/>
      </w:pPr>
      <w:r>
        <w:rPr>
          <w:noProof/>
        </w:rPr>
        <w:drawing>
          <wp:inline distT="0" distB="0" distL="0" distR="0">
            <wp:extent cx="5953125" cy="21907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</w:t>
      </w:r>
    </w:p>
    <w:p w:rsidR="002D10DC" w:rsidRDefault="002D10DC" w:rsidP="002D10DC">
      <w:pPr>
        <w:jc w:val="both"/>
        <w:rPr>
          <w:b/>
        </w:rPr>
      </w:pPr>
      <w:r>
        <w:t xml:space="preserve">                      </w:t>
      </w:r>
      <w:r>
        <w:rPr>
          <w:b/>
        </w:rPr>
        <w:t>Рис. 3. Сравнительная характеристика коэффициента фертильности (15-49 лет)</w:t>
      </w:r>
    </w:p>
    <w:p w:rsidR="002D10DC" w:rsidRDefault="002D10DC" w:rsidP="002D10DC">
      <w:pPr>
        <w:jc w:val="both"/>
        <w:rPr>
          <w:b/>
        </w:rPr>
      </w:pPr>
      <w:r>
        <w:rPr>
          <w:b/>
        </w:rPr>
        <w:t xml:space="preserve">                                   и рождаемости  в </w:t>
      </w:r>
      <w:proofErr w:type="gramStart"/>
      <w:r>
        <w:rPr>
          <w:b/>
        </w:rPr>
        <w:t>г</w:t>
      </w:r>
      <w:proofErr w:type="gramEnd"/>
      <w:r>
        <w:rPr>
          <w:b/>
        </w:rPr>
        <w:t>. Могилеве</w:t>
      </w:r>
    </w:p>
    <w:p w:rsidR="002D10DC" w:rsidRDefault="002D10DC" w:rsidP="002D10DC">
      <w:pPr>
        <w:jc w:val="both"/>
        <w:rPr>
          <w:b/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Причем, для нормальных условий воспроизводства удельный вес в возрастной группе 15-49 лет должен составлять около 50% от всего населения, в т.ч. женщин и мужчин по 25%. В г. Могилеве в структуре численности населения лица фертильного возраста составляют около 58%, в т.ч. около 30 – 30,9% – женщины, 27,3 – 28,3% мужчины, что создает хорошие предпосылки для дальнейшего роста рождаемости (рис. 4).</w:t>
      </w:r>
      <w:proofErr w:type="gramEnd"/>
    </w:p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4C2077" w:rsidP="002D10DC">
      <w:pPr>
        <w:ind w:firstLine="180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78pt;margin-top:1.95pt;width:45pt;height:18pt;z-index:251670528" o:allowincell="f" fillcolor="#cfc" strokecolor="white" strokeweight="0">
            <v:textbox style="mso-next-textbox:#_x0000_s1047">
              <w:txbxContent>
                <w:p w:rsidR="002D10DC" w:rsidRDefault="002D10DC" w:rsidP="002D10DC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56.8%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8" type="#_x0000_t202" style="position:absolute;left:0;text-align:left;margin-left:324pt;margin-top:1.95pt;width:45pt;height:18pt;z-index:251664384" o:allowincell="f" fillcolor="#cfc" strokecolor="white" strokeweight="0">
            <v:textbox style="mso-next-textbox:#_x0000_s1038">
              <w:txbxContent>
                <w:p w:rsidR="002D10DC" w:rsidRDefault="002D10DC" w:rsidP="002D10DC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57,6%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9" type="#_x0000_t202" style="position:absolute;left:0;text-align:left;margin-left:243pt;margin-top:1.95pt;width:45pt;height:18pt;z-index:251665408" o:allowincell="f" fillcolor="#cfc" strokecolor="white" strokeweight="0">
            <v:textbox style="mso-next-textbox:#_x0000_s1039">
              <w:txbxContent>
                <w:p w:rsidR="002D10DC" w:rsidRDefault="002D10DC" w:rsidP="002D10DC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59,0%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0" type="#_x0000_t202" style="position:absolute;left:0;text-align:left;margin-left:162pt;margin-top:1.95pt;width:45pt;height:16.35pt;z-index:251666432" o:allowincell="f" fillcolor="#cfc" strokecolor="white" strokeweight="0">
            <v:textbox style="mso-next-textbox:#_x0000_s1040">
              <w:txbxContent>
                <w:p w:rsidR="002D10DC" w:rsidRDefault="002D10DC" w:rsidP="002D10DC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59,1 %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1" type="#_x0000_t202" style="position:absolute;left:0;text-align:left;margin-left:1in;margin-top:1.95pt;width:45pt;height:18pt;z-index:251667456" o:allowincell="f" fillcolor="#cfc" strokecolor="white" strokeweight="0">
            <v:textbox style="mso-next-textbox:#_x0000_s1041">
              <w:txbxContent>
                <w:p w:rsidR="002D10DC" w:rsidRDefault="002D10DC" w:rsidP="002D10DC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58,3%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2" type="#_x0000_t202" style="position:absolute;left:0;text-align:left;margin-left:405pt;margin-top:33.15pt;width:54pt;height:18pt;z-index:251668480" o:allowincell="f" fillcolor="#cfc" strokecolor="white" strokeweight="0">
            <v:textbox style="mso-next-textbox:#_x0000_s1042">
              <w:txbxContent>
                <w:p w:rsidR="002D10DC" w:rsidRDefault="002D10DC" w:rsidP="002D10DC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Оба пола</w:t>
                  </w:r>
                </w:p>
              </w:txbxContent>
            </v:textbox>
          </v:shape>
        </w:pict>
      </w:r>
      <w:r w:rsidR="002D10DC">
        <w:rPr>
          <w:noProof/>
        </w:rPr>
        <w:drawing>
          <wp:inline distT="0" distB="0" distL="0" distR="0">
            <wp:extent cx="5876925" cy="2047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</w:rPr>
        <w:t>Рис. 4. Процент численности мужского и женского населения детородного возраста в г</w:t>
      </w:r>
      <w:proofErr w:type="gramStart"/>
      <w:r>
        <w:rPr>
          <w:b/>
        </w:rPr>
        <w:t>.М</w:t>
      </w:r>
      <w:proofErr w:type="gramEnd"/>
      <w:r>
        <w:rPr>
          <w:b/>
        </w:rPr>
        <w:t>огилеве</w:t>
      </w:r>
    </w:p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На показатели рождаемости влияют семейно-брачные отношения. В 2008г. зарегистрировано 3275 браков и 1585 разводов. В Могилеве сохранилась отмеченная в прошлые годы положительная динамика показателя </w:t>
      </w:r>
      <w:proofErr w:type="spellStart"/>
      <w:r>
        <w:rPr>
          <w:sz w:val="24"/>
        </w:rPr>
        <w:t>брачности</w:t>
      </w:r>
      <w:proofErr w:type="spellEnd"/>
      <w:r>
        <w:rPr>
          <w:sz w:val="24"/>
        </w:rPr>
        <w:t xml:space="preserve">. В сравнении с 2000г.  </w:t>
      </w:r>
      <w:r>
        <w:rPr>
          <w:sz w:val="24"/>
        </w:rPr>
        <w:lastRenderedPageBreak/>
        <w:t xml:space="preserve">коэффициент </w:t>
      </w:r>
      <w:proofErr w:type="spellStart"/>
      <w:r>
        <w:rPr>
          <w:sz w:val="24"/>
        </w:rPr>
        <w:t>брачности</w:t>
      </w:r>
      <w:proofErr w:type="spellEnd"/>
      <w:r>
        <w:rPr>
          <w:sz w:val="24"/>
        </w:rPr>
        <w:t xml:space="preserve"> увеличился на 20,4% и в 2008г. составил 8,8 на 1000 населения.  Вместе с тем, коэффициент </w:t>
      </w:r>
      <w:proofErr w:type="spellStart"/>
      <w:r>
        <w:rPr>
          <w:sz w:val="24"/>
        </w:rPr>
        <w:t>разводимости</w:t>
      </w:r>
      <w:proofErr w:type="spellEnd"/>
      <w:r>
        <w:rPr>
          <w:sz w:val="24"/>
        </w:rPr>
        <w:t xml:space="preserve"> снизился на 20,4% и составил 4,3 на 1000 населения (рис.5). В последние годы улучшилось соотношение браков и разводов: если в 2000г. на 100 браков было 76 разводов, то в 2008г. – 48.  </w:t>
      </w:r>
    </w:p>
    <w:p w:rsidR="002D10DC" w:rsidRDefault="002D10DC" w:rsidP="002D10DC">
      <w:pPr>
        <w:ind w:firstLine="180"/>
        <w:jc w:val="both"/>
        <w:rPr>
          <w:sz w:val="24"/>
        </w:rPr>
      </w:pPr>
      <w:r>
        <w:rPr>
          <w:noProof/>
        </w:rPr>
        <w:drawing>
          <wp:inline distT="0" distB="0" distL="0" distR="0">
            <wp:extent cx="5838825" cy="25622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10DC" w:rsidRDefault="002D10DC" w:rsidP="002D10DC">
      <w:pPr>
        <w:rPr>
          <w:b/>
        </w:rPr>
      </w:pPr>
      <w:r>
        <w:rPr>
          <w:b/>
        </w:rPr>
        <w:t xml:space="preserve">                       Рис. 5.  Динамика коэффициентов </w:t>
      </w:r>
      <w:proofErr w:type="spellStart"/>
      <w:r>
        <w:rPr>
          <w:b/>
        </w:rPr>
        <w:t>брачности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разводимости</w:t>
      </w:r>
      <w:proofErr w:type="spellEnd"/>
      <w:r>
        <w:rPr>
          <w:b/>
        </w:rPr>
        <w:t xml:space="preserve"> в г</w:t>
      </w:r>
      <w:proofErr w:type="gramStart"/>
      <w:r>
        <w:rPr>
          <w:b/>
        </w:rPr>
        <w:t>.М</w:t>
      </w:r>
      <w:proofErr w:type="gramEnd"/>
      <w:r>
        <w:rPr>
          <w:b/>
        </w:rPr>
        <w:t>огилеве</w:t>
      </w:r>
    </w:p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В 2008г. возросла </w:t>
      </w:r>
      <w:r>
        <w:rPr>
          <w:b/>
          <w:sz w:val="24"/>
        </w:rPr>
        <w:t>численность</w:t>
      </w:r>
      <w:r>
        <w:rPr>
          <w:sz w:val="24"/>
        </w:rPr>
        <w:t xml:space="preserve"> населения на 0,38% и составляет 372,0 тыс. человек. 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>В структуре численности 13,8% составляют дети, 56,8% лица 15-49 лет, 29,4% лица 50 лет и  старше, т.е. в городе регрессивная возрастная структура населения, когда превышают более 25% лица старше трудоспособного возраста и ниже 25% процент детей (табл.1).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таблица 1</w:t>
      </w:r>
    </w:p>
    <w:p w:rsidR="002D10DC" w:rsidRDefault="002D10DC" w:rsidP="002D10DC">
      <w:pPr>
        <w:jc w:val="center"/>
        <w:rPr>
          <w:sz w:val="24"/>
        </w:rPr>
      </w:pPr>
      <w:r>
        <w:rPr>
          <w:sz w:val="24"/>
        </w:rPr>
        <w:t>Тип возрастной структуры населения</w:t>
      </w:r>
    </w:p>
    <w:p w:rsidR="002D10DC" w:rsidRDefault="002D10DC" w:rsidP="002D10DC">
      <w:pPr>
        <w:jc w:val="center"/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4"/>
        <w:gridCol w:w="2216"/>
        <w:gridCol w:w="2340"/>
        <w:gridCol w:w="2340"/>
      </w:tblGrid>
      <w:tr w:rsidR="002D10DC" w:rsidTr="00792298">
        <w:trPr>
          <w:cantSplit/>
        </w:trPr>
        <w:tc>
          <w:tcPr>
            <w:tcW w:w="210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структуры населения</w:t>
            </w:r>
          </w:p>
        </w:tc>
        <w:tc>
          <w:tcPr>
            <w:tcW w:w="689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pStyle w:val="3"/>
            </w:pPr>
            <w:r>
              <w:t xml:space="preserve">Удельный вес возрастных групп </w:t>
            </w:r>
            <w:proofErr w:type="gramStart"/>
            <w:r>
              <w:t>в</w:t>
            </w:r>
            <w:proofErr w:type="gramEnd"/>
            <w:r>
              <w:t xml:space="preserve"> общей</w:t>
            </w:r>
          </w:p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численности населения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2D10DC" w:rsidTr="00792298">
        <w:trPr>
          <w:cantSplit/>
        </w:trPr>
        <w:tc>
          <w:tcPr>
            <w:tcW w:w="210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both"/>
              <w:rPr>
                <w:sz w:val="24"/>
              </w:rPr>
            </w:pPr>
          </w:p>
        </w:tc>
        <w:tc>
          <w:tcPr>
            <w:tcW w:w="2216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лица до 15 лет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лица 15-49 лет</w:t>
            </w:r>
          </w:p>
        </w:tc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лица 50 лет и старше</w:t>
            </w:r>
          </w:p>
        </w:tc>
      </w:tr>
      <w:tr w:rsidR="002D10DC" w:rsidTr="00792298">
        <w:tc>
          <w:tcPr>
            <w:tcW w:w="2104" w:type="dxa"/>
            <w:tcBorders>
              <w:top w:val="double" w:sz="4" w:space="0" w:color="auto"/>
              <w:left w:val="double" w:sz="4" w:space="0" w:color="auto"/>
            </w:tcBorders>
          </w:tcPr>
          <w:p w:rsidR="002D10DC" w:rsidRDefault="002D10DC" w:rsidP="0079229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Прогрессивный</w:t>
            </w:r>
          </w:p>
        </w:tc>
        <w:tc>
          <w:tcPr>
            <w:tcW w:w="2216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2D10DC" w:rsidTr="00792298">
        <w:tc>
          <w:tcPr>
            <w:tcW w:w="2104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</w:p>
        </w:tc>
        <w:tc>
          <w:tcPr>
            <w:tcW w:w="2216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340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2D10DC" w:rsidTr="00792298">
        <w:tc>
          <w:tcPr>
            <w:tcW w:w="2104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Регрессивный</w:t>
            </w:r>
          </w:p>
        </w:tc>
        <w:tc>
          <w:tcPr>
            <w:tcW w:w="2216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340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2D10DC" w:rsidTr="00792298">
        <w:tc>
          <w:tcPr>
            <w:tcW w:w="2104" w:type="dxa"/>
            <w:tcBorders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Удельный вес в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огилеве</w:t>
            </w:r>
          </w:p>
        </w:tc>
        <w:tc>
          <w:tcPr>
            <w:tcW w:w="2216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</w:p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</w:p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</w:p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</w:tbl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Процесс демографического старения населения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 Могилева продолжается. В возрастной структуре населения отмечается дальнейшее увеличение доли лиц в возрасте 65 лет и старше, сокращение процента детей (рис. 6)</w:t>
      </w:r>
    </w:p>
    <w:p w:rsidR="002D10DC" w:rsidRDefault="002D10DC" w:rsidP="002D10DC">
      <w:pPr>
        <w:jc w:val="both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53125" cy="24288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</w:rPr>
        <w:t xml:space="preserve">   </w:t>
      </w:r>
    </w:p>
    <w:p w:rsidR="002D10DC" w:rsidRDefault="002D10DC" w:rsidP="002D10DC">
      <w:pPr>
        <w:jc w:val="both"/>
        <w:rPr>
          <w:b/>
        </w:rPr>
      </w:pPr>
    </w:p>
    <w:p w:rsidR="002D10DC" w:rsidRDefault="002D10DC" w:rsidP="002D10DC">
      <w:pPr>
        <w:jc w:val="both"/>
        <w:rPr>
          <w:sz w:val="24"/>
        </w:rPr>
      </w:pPr>
      <w:r>
        <w:rPr>
          <w:b/>
        </w:rPr>
        <w:t xml:space="preserve">               Рис. 6. Изменения в возрастной структуре населения </w:t>
      </w:r>
      <w:proofErr w:type="gramStart"/>
      <w:r>
        <w:rPr>
          <w:b/>
        </w:rPr>
        <w:t>г</w:t>
      </w:r>
      <w:proofErr w:type="gramEnd"/>
      <w:r>
        <w:rPr>
          <w:b/>
        </w:rPr>
        <w:t>. Могилева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В зависимости от степени развития процесса старения населения (по  </w:t>
      </w:r>
      <w:proofErr w:type="spellStart"/>
      <w:r>
        <w:rPr>
          <w:sz w:val="24"/>
        </w:rPr>
        <w:t>Э.Россет</w:t>
      </w:r>
      <w:proofErr w:type="spellEnd"/>
      <w:r>
        <w:rPr>
          <w:sz w:val="24"/>
        </w:rPr>
        <w:t xml:space="preserve">) выделяется  демографическая молодость общества, преддверие старения, собственно старение, демографическая старость (табл.2, рис.7). </w:t>
      </w: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таблица  2</w:t>
      </w:r>
    </w:p>
    <w:p w:rsidR="002D10DC" w:rsidRDefault="002D10DC" w:rsidP="002D10DC">
      <w:pPr>
        <w:ind w:firstLine="567"/>
        <w:jc w:val="center"/>
        <w:rPr>
          <w:sz w:val="24"/>
        </w:rPr>
      </w:pPr>
      <w:r>
        <w:rPr>
          <w:sz w:val="24"/>
        </w:rPr>
        <w:t>Классификация обществ в зависимости от степени</w:t>
      </w:r>
    </w:p>
    <w:p w:rsidR="002D10DC" w:rsidRDefault="002D10DC" w:rsidP="002D10DC">
      <w:pPr>
        <w:ind w:firstLine="567"/>
        <w:jc w:val="center"/>
        <w:rPr>
          <w:sz w:val="24"/>
        </w:rPr>
      </w:pPr>
      <w:r>
        <w:rPr>
          <w:sz w:val="24"/>
        </w:rPr>
        <w:t xml:space="preserve">развития процесса старения населения (по </w:t>
      </w:r>
      <w:proofErr w:type="spellStart"/>
      <w:r>
        <w:rPr>
          <w:sz w:val="24"/>
        </w:rPr>
        <w:t>Э.Россет</w:t>
      </w:r>
      <w:proofErr w:type="spellEnd"/>
      <w:r>
        <w:rPr>
          <w:sz w:val="24"/>
        </w:rPr>
        <w:t>)</w:t>
      </w:r>
    </w:p>
    <w:p w:rsidR="002D10DC" w:rsidRDefault="002D10DC" w:rsidP="002D10DC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960"/>
        <w:gridCol w:w="3960"/>
      </w:tblGrid>
      <w:tr w:rsidR="002D10DC" w:rsidTr="00792298"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 лиц в возрасте</w:t>
            </w:r>
          </w:p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 лет и старше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pStyle w:val="4"/>
              <w:jc w:val="left"/>
            </w:pPr>
            <w:r>
              <w:t>Характеристики</w:t>
            </w:r>
          </w:p>
          <w:p w:rsidR="002D10DC" w:rsidRDefault="002D10DC" w:rsidP="00792298">
            <w:pPr>
              <w:rPr>
                <w:sz w:val="24"/>
              </w:rPr>
            </w:pPr>
            <w:r>
              <w:rPr>
                <w:sz w:val="24"/>
              </w:rPr>
              <w:t>отдельных групп</w:t>
            </w:r>
          </w:p>
        </w:tc>
      </w:tr>
      <w:tr w:rsidR="002D10DC" w:rsidTr="00792298"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396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менее 8</w:t>
            </w:r>
          </w:p>
        </w:tc>
        <w:tc>
          <w:tcPr>
            <w:tcW w:w="3960" w:type="dxa"/>
            <w:tcBorders>
              <w:top w:val="double" w:sz="4" w:space="0" w:color="auto"/>
              <w:right w:val="double" w:sz="4" w:space="0" w:color="auto"/>
            </w:tcBorders>
          </w:tcPr>
          <w:p w:rsidR="002D10DC" w:rsidRDefault="002D10DC" w:rsidP="00792298">
            <w:r>
              <w:rPr>
                <w:sz w:val="24"/>
              </w:rPr>
              <w:t>Демографическая молодость</w:t>
            </w:r>
          </w:p>
        </w:tc>
      </w:tr>
      <w:tr w:rsidR="002D10DC" w:rsidTr="00792298">
        <w:tc>
          <w:tcPr>
            <w:tcW w:w="1080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3960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– 10</w:t>
            </w: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rPr>
                <w:sz w:val="24"/>
              </w:rPr>
            </w:pPr>
            <w:r>
              <w:rPr>
                <w:sz w:val="24"/>
              </w:rPr>
              <w:t>Преддверие старения</w:t>
            </w:r>
          </w:p>
        </w:tc>
      </w:tr>
      <w:tr w:rsidR="002D10DC" w:rsidTr="00792298">
        <w:tc>
          <w:tcPr>
            <w:tcW w:w="1080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3960" w:type="dxa"/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– 12</w:t>
            </w:r>
          </w:p>
        </w:tc>
        <w:tc>
          <w:tcPr>
            <w:tcW w:w="396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rPr>
                <w:sz w:val="24"/>
              </w:rPr>
            </w:pPr>
            <w:r>
              <w:rPr>
                <w:sz w:val="24"/>
              </w:rPr>
              <w:t>Собственно старение</w:t>
            </w:r>
          </w:p>
        </w:tc>
      </w:tr>
      <w:tr w:rsidR="002D10DC" w:rsidTr="00792298"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и более</w:t>
            </w:r>
          </w:p>
        </w:tc>
        <w:tc>
          <w:tcPr>
            <w:tcW w:w="3960" w:type="dxa"/>
            <w:tcBorders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rPr>
                <w:sz w:val="24"/>
              </w:rPr>
            </w:pPr>
            <w:r>
              <w:rPr>
                <w:sz w:val="24"/>
              </w:rPr>
              <w:t>Демографическая старость</w:t>
            </w:r>
          </w:p>
        </w:tc>
      </w:tr>
    </w:tbl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>Согласно международным критериям, старым считается население, в котором доля пожилых людей (60 лет и старше) превышает 8% (рис.7).</w:t>
      </w:r>
    </w:p>
    <w:p w:rsidR="002D10DC" w:rsidRDefault="004C2077" w:rsidP="002D10DC">
      <w:pPr>
        <w:jc w:val="both"/>
        <w:rPr>
          <w:b/>
        </w:rPr>
      </w:pPr>
      <w:r w:rsidRPr="004C2077">
        <w:rPr>
          <w:noProof/>
          <w:sz w:val="24"/>
        </w:rPr>
        <w:pict>
          <v:group id="_x0000_s1028" style="position:absolute;left:0;text-align:left;margin-left:0;margin-top:16.2pt;width:459.75pt;height:262.25pt;z-index:251662336" coordorigin="1846,10224" coordsize="9195,524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46;top:10224;width:9195;height:5245">
              <v:imagedata r:id="rId10" o:title=""/>
            </v:shape>
            <v:line id="_x0000_s1030" style="position:absolute" from="2698,13206" to="10792,13214" strokecolor="#330" strokeweight="2pt">
              <v:stroke endarrow="block"/>
            </v:line>
            <v:shape id="_x0000_s1031" type="#_x0000_t202" style="position:absolute;left:5254;top:14058;width:3960;height:552" stroked="f">
              <v:fill opacity="0"/>
              <v:textbox style="mso-next-textbox:#_x0000_s1031">
                <w:txbxContent>
                  <w:p w:rsidR="002D10DC" w:rsidRDefault="002D10DC" w:rsidP="002D10DC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 xml:space="preserve">I </w:t>
                    </w:r>
                    <w:r>
                      <w:rPr>
                        <w:b/>
                        <w:lang w:val="en-US"/>
                      </w:rPr>
                      <w:t xml:space="preserve">– </w:t>
                    </w:r>
                    <w:proofErr w:type="gramStart"/>
                    <w:r>
                      <w:t>демографическая  молодость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5254;top:13206;width:3780;height:475" stroked="f">
              <v:fill opacity="0"/>
              <v:textbox style="mso-next-textbox:#_x0000_s1032">
                <w:txbxContent>
                  <w:p w:rsidR="002D10DC" w:rsidRDefault="002D10DC" w:rsidP="002D10DC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>II</w:t>
                    </w:r>
                    <w:r>
                      <w:rPr>
                        <w:b/>
                      </w:rPr>
                      <w:t xml:space="preserve"> – </w:t>
                    </w:r>
                    <w:r>
                      <w:t>преддверие старости</w:t>
                    </w:r>
                  </w:p>
                </w:txbxContent>
              </v:textbox>
            </v:shape>
            <v:shape id="_x0000_s1033" type="#_x0000_t202" style="position:absolute;left:5254;top:12780;width:3780;height:429" stroked="f">
              <v:fill opacity="0"/>
              <v:textbox style="mso-next-textbox:#_x0000_s1033">
                <w:txbxContent>
                  <w:p w:rsidR="002D10DC" w:rsidRDefault="002D10DC" w:rsidP="002D10DC">
                    <w:pPr>
                      <w:rPr>
                        <w:b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  <w:r>
                      <w:rPr>
                        <w:b/>
                      </w:rPr>
                      <w:t xml:space="preserve"> – </w:t>
                    </w:r>
                    <w:r>
                      <w:t>собственно старение</w:t>
                    </w:r>
                  </w:p>
                </w:txbxContent>
              </v:textbox>
            </v:shape>
            <v:shape id="_x0000_s1034" type="#_x0000_t202" style="position:absolute;left:5254;top:12212;width:3780;height:552" stroked="f">
              <v:fill opacity="0"/>
              <v:textbox style="mso-next-textbox:#_x0000_s1034">
                <w:txbxContent>
                  <w:p w:rsidR="002D10DC" w:rsidRDefault="002D10DC" w:rsidP="002D10DC">
                    <w:r>
                      <w:t>IV – демографическая старость</w:t>
                    </w:r>
                  </w:p>
                </w:txbxContent>
              </v:textbox>
            </v:shape>
            <v:line id="_x0000_s1035" style="position:absolute;flip:y" from="2698,13774" to="10792,13774" strokeweight="2pt">
              <v:stroke endarrow="block"/>
            </v:line>
            <v:line id="_x0000_s1036" style="position:absolute;flip:y" from="2698,12780" to="10792,12780" strokeweight="2pt">
              <v:stroke endarrow="block"/>
            </v:line>
            <w10:wrap type="square"/>
          </v:group>
          <o:OLEObject Type="Embed" ProgID="MSGraph.Chart.8" ShapeID="_x0000_s1029" DrawAspect="Content" ObjectID="_1307549911" r:id="rId11">
            <o:FieldCodes>\s</o:FieldCodes>
          </o:OLEObject>
        </w:pict>
      </w:r>
      <w:r w:rsidR="002D10DC">
        <w:rPr>
          <w:b/>
        </w:rPr>
        <w:t xml:space="preserve">      </w:t>
      </w:r>
    </w:p>
    <w:p w:rsidR="002D10DC" w:rsidRDefault="002D10DC" w:rsidP="002D10DC">
      <w:pPr>
        <w:ind w:hanging="180"/>
        <w:jc w:val="both"/>
        <w:rPr>
          <w:b/>
        </w:rPr>
      </w:pPr>
    </w:p>
    <w:p w:rsidR="002D10DC" w:rsidRDefault="002D10DC" w:rsidP="002D10DC">
      <w:pPr>
        <w:jc w:val="both"/>
        <w:rPr>
          <w:b/>
        </w:rPr>
      </w:pPr>
      <w:r>
        <w:rPr>
          <w:b/>
        </w:rPr>
        <w:t xml:space="preserve">           Рис. 7. Классификация общества в зависимости от степени развития процесса старения </w:t>
      </w:r>
    </w:p>
    <w:p w:rsidR="002D10DC" w:rsidRDefault="002D10DC" w:rsidP="002D10DC">
      <w:pPr>
        <w:jc w:val="both"/>
        <w:rPr>
          <w:sz w:val="24"/>
        </w:rPr>
      </w:pPr>
      <w:r>
        <w:rPr>
          <w:b/>
        </w:rPr>
        <w:t xml:space="preserve">                       в </w:t>
      </w:r>
      <w:proofErr w:type="gramStart"/>
      <w:r>
        <w:rPr>
          <w:b/>
        </w:rPr>
        <w:t>г</w:t>
      </w:r>
      <w:proofErr w:type="gramEnd"/>
      <w:r>
        <w:rPr>
          <w:b/>
        </w:rPr>
        <w:t>. Могилеве</w:t>
      </w:r>
      <w:r>
        <w:rPr>
          <w:noProof/>
          <w:sz w:val="24"/>
        </w:rPr>
        <w:t xml:space="preserve"> </w:t>
      </w:r>
    </w:p>
    <w:p w:rsidR="002D10DC" w:rsidRDefault="002D10DC" w:rsidP="002D10DC">
      <w:pPr>
        <w:ind w:firstLine="567"/>
        <w:jc w:val="both"/>
        <w:rPr>
          <w:sz w:val="24"/>
        </w:rPr>
      </w:pPr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Население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 Могилева можно считать </w:t>
      </w:r>
      <w:r>
        <w:rPr>
          <w:i/>
          <w:sz w:val="24"/>
        </w:rPr>
        <w:t>старым</w:t>
      </w:r>
      <w:r>
        <w:rPr>
          <w:sz w:val="24"/>
        </w:rPr>
        <w:t xml:space="preserve"> уже с середины 90-х годов. Удельный вес лиц в возрасте 60 лет и старше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 Могилеве в 1989-2008гг. составляет около 11,7 – 14,5%.  Общество в городе с точки зрения демографических процессов можно оценить </w:t>
      </w:r>
      <w:r>
        <w:rPr>
          <w:i/>
          <w:sz w:val="24"/>
        </w:rPr>
        <w:t>как  находящееся в состоянии демографической старости</w:t>
      </w:r>
      <w:r>
        <w:rPr>
          <w:sz w:val="24"/>
        </w:rPr>
        <w:t>.</w:t>
      </w:r>
    </w:p>
    <w:p w:rsidR="002D10DC" w:rsidRDefault="002D10DC" w:rsidP="002D10D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4"/>
        </w:rPr>
        <w:t xml:space="preserve">        Одним из социально-демографических последствий длительного процесса старения населения может стать его неблагоприятное влияние на формирование трудовых ресурсов, которые характеризуются коэффициентом демографической нагрузки (число лиц нетрудоспособного возраста на 1000 трудоспособного) (табл.3). Пока еще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 Могилеве отмечаются колебания прироста абсолютной численности трудоспособного населения за счет относительно многочисленного поколения 1980-х годов рождения, поэтому и показатель демографической нагрузки незначительно снижается (с 557 в 2000г. до 487 в 2008г.). Однако, число детей в его структуре (степень замещения трудовых ресурсов) уменьшилось с 307 до 220, а число пенсионеров (степень пенсионной тяжести) выросло с 250 до 267 (табл. 3).</w:t>
      </w:r>
    </w:p>
    <w:p w:rsidR="002D10DC" w:rsidRDefault="002D10DC" w:rsidP="002D10DC">
      <w:pPr>
        <w:jc w:val="right"/>
        <w:rPr>
          <w:sz w:val="24"/>
        </w:rPr>
      </w:pPr>
      <w:r>
        <w:rPr>
          <w:sz w:val="24"/>
        </w:rPr>
        <w:t>таблица  3</w:t>
      </w:r>
    </w:p>
    <w:p w:rsidR="002D10DC" w:rsidRDefault="002D10DC" w:rsidP="002D10DC">
      <w:pPr>
        <w:jc w:val="center"/>
        <w:rPr>
          <w:sz w:val="24"/>
        </w:rPr>
      </w:pPr>
      <w:r>
        <w:rPr>
          <w:sz w:val="24"/>
        </w:rPr>
        <w:t>Нагрузка на трудоспособное население (г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огилев)</w:t>
      </w:r>
    </w:p>
    <w:p w:rsidR="002D10DC" w:rsidRDefault="002D10DC" w:rsidP="002D10DC">
      <w:pPr>
        <w:rPr>
          <w:sz w:val="24"/>
        </w:rPr>
      </w:pPr>
      <w:r>
        <w:rPr>
          <w:sz w:val="24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260"/>
        <w:gridCol w:w="1260"/>
        <w:gridCol w:w="1440"/>
        <w:gridCol w:w="1440"/>
        <w:gridCol w:w="1440"/>
      </w:tblGrid>
      <w:tr w:rsidR="002D10DC" w:rsidTr="00792298">
        <w:trPr>
          <w:cantSplit/>
          <w:trHeight w:val="414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годы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</w:pPr>
            <w:r>
              <w:t xml:space="preserve">Численность населения в возрасте, </w:t>
            </w:r>
          </w:p>
          <w:p w:rsidR="002D10DC" w:rsidRDefault="002D10DC" w:rsidP="00792298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</w:pPr>
            <w:r>
              <w:t>На 1000 чел. трудоспособного возраста приходится лиц</w:t>
            </w:r>
          </w:p>
        </w:tc>
      </w:tr>
      <w:tr w:rsidR="002D10DC" w:rsidTr="00792298">
        <w:trPr>
          <w:cantSplit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 w:val="restart"/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трудоспособном возрасте</w:t>
            </w:r>
          </w:p>
        </w:tc>
        <w:tc>
          <w:tcPr>
            <w:tcW w:w="1260" w:type="dxa"/>
            <w:vMerge w:val="restart"/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моложе трудоспособного возраста</w:t>
            </w:r>
          </w:p>
        </w:tc>
        <w:tc>
          <w:tcPr>
            <w:tcW w:w="1260" w:type="dxa"/>
            <w:vMerge w:val="restart"/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старше трудоспособного возраста</w:t>
            </w:r>
          </w:p>
        </w:tc>
        <w:tc>
          <w:tcPr>
            <w:tcW w:w="1440" w:type="dxa"/>
            <w:vMerge w:val="restart"/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нетрудоспособном возрасте</w:t>
            </w:r>
          </w:p>
        </w:tc>
        <w:tc>
          <w:tcPr>
            <w:tcW w:w="2880" w:type="dxa"/>
            <w:gridSpan w:val="2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 них в возрасте</w:t>
            </w:r>
          </w:p>
        </w:tc>
      </w:tr>
      <w:tr w:rsidR="002D10DC" w:rsidTr="00792298">
        <w:trPr>
          <w:cantSplit/>
          <w:trHeight w:val="578"/>
        </w:trPr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моложе трудоспособного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старше трудоспособного </w:t>
            </w:r>
          </w:p>
        </w:tc>
      </w:tr>
      <w:tr w:rsidR="002D10DC" w:rsidTr="00792298">
        <w:trPr>
          <w:trHeight w:val="37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230184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70747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57489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:rsidR="002D10DC" w:rsidTr="00792298">
        <w:trPr>
          <w:trHeight w:val="375"/>
        </w:trPr>
        <w:tc>
          <w:tcPr>
            <w:tcW w:w="900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238282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66217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58139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</w:tr>
      <w:tr w:rsidR="002D10DC" w:rsidTr="00792298">
        <w:trPr>
          <w:trHeight w:val="375"/>
        </w:trPr>
        <w:tc>
          <w:tcPr>
            <w:tcW w:w="900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246927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58749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61197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 w:rsidR="002D10DC" w:rsidTr="00792298">
        <w:trPr>
          <w:trHeight w:val="375"/>
        </w:trPr>
        <w:tc>
          <w:tcPr>
            <w:tcW w:w="900" w:type="dxa"/>
            <w:tcBorders>
              <w:lef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249505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55495</w:t>
            </w:r>
          </w:p>
        </w:tc>
        <w:tc>
          <w:tcPr>
            <w:tcW w:w="126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64215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440" w:type="dxa"/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</w:tr>
      <w:tr w:rsidR="002D10DC" w:rsidTr="00792298">
        <w:trPr>
          <w:trHeight w:val="375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249222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54928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66488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2D10DC" w:rsidRDefault="002D10DC" w:rsidP="007922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</w:tr>
    </w:tbl>
    <w:p w:rsidR="002D10DC" w:rsidRDefault="002D10DC" w:rsidP="002D10DC">
      <w:pPr>
        <w:pStyle w:val="a9"/>
        <w:jc w:val="both"/>
        <w:rPr>
          <w:sz w:val="24"/>
          <w:lang w:val="ru-RU"/>
        </w:rPr>
      </w:pPr>
      <w:r>
        <w:rPr>
          <w:sz w:val="24"/>
        </w:rPr>
        <w:t xml:space="preserve">      </w:t>
      </w:r>
    </w:p>
    <w:p w:rsidR="002D10DC" w:rsidRDefault="002D10DC" w:rsidP="002D10DC">
      <w:pPr>
        <w:pStyle w:val="a9"/>
        <w:ind w:firstLine="540"/>
        <w:jc w:val="both"/>
      </w:pPr>
      <w:r>
        <w:rPr>
          <w:sz w:val="24"/>
        </w:rPr>
        <w:t>Следует отметить, что в сравнении с 2005г. значение коэффициента демографической нагрузки несколько увеличилось, что также свидетельствует о трансформации возрастной структуры населения города и о возрастающей демографической нагрузке на общество</w:t>
      </w:r>
      <w:r>
        <w:t>.</w:t>
      </w:r>
    </w:p>
    <w:p w:rsidR="002D10DC" w:rsidRDefault="002D10DC" w:rsidP="002D10DC">
      <w:pPr>
        <w:ind w:firstLine="567"/>
        <w:jc w:val="both"/>
        <w:rPr>
          <w:color w:val="000000"/>
          <w:spacing w:val="-13"/>
          <w:sz w:val="24"/>
        </w:rPr>
      </w:pPr>
      <w:r>
        <w:rPr>
          <w:b/>
          <w:sz w:val="24"/>
        </w:rPr>
        <w:t>Смертность</w:t>
      </w:r>
      <w:r>
        <w:rPr>
          <w:sz w:val="24"/>
        </w:rPr>
        <w:t xml:space="preserve"> населения  в 2008г. составляет 10,36 на 1000 чел. (умерло 3854 человек) (рис.1). </w:t>
      </w:r>
      <w:r>
        <w:rPr>
          <w:color w:val="000000"/>
          <w:spacing w:val="-13"/>
          <w:sz w:val="24"/>
        </w:rPr>
        <w:t>В сравнительном аспекте в  2008 году по Республике Беларусь смертность составляет 13,9 на 1000 чел., т.е. в г</w:t>
      </w:r>
      <w:proofErr w:type="gramStart"/>
      <w:r>
        <w:rPr>
          <w:color w:val="000000"/>
          <w:spacing w:val="-13"/>
          <w:sz w:val="24"/>
        </w:rPr>
        <w:t>.М</w:t>
      </w:r>
      <w:proofErr w:type="gramEnd"/>
      <w:r>
        <w:rPr>
          <w:color w:val="000000"/>
          <w:spacing w:val="-13"/>
          <w:sz w:val="24"/>
        </w:rPr>
        <w:t xml:space="preserve">огилеве смертность существенно ниже аналогичного показателя по стране. Для сравнения:  общеевропейский </w:t>
      </w:r>
      <w:r>
        <w:rPr>
          <w:color w:val="000000"/>
          <w:spacing w:val="-12"/>
          <w:sz w:val="24"/>
        </w:rPr>
        <w:t xml:space="preserve">показатель смертности составляет около 11,  в Великобритании — 10, в Японии — 9,  в США </w:t>
      </w:r>
      <w:r>
        <w:rPr>
          <w:color w:val="000000"/>
          <w:spacing w:val="-13"/>
          <w:sz w:val="24"/>
        </w:rPr>
        <w:t>— 8, в Австралии — 7,6 на 100 человек</w:t>
      </w:r>
      <w:proofErr w:type="gramStart"/>
      <w:r>
        <w:rPr>
          <w:color w:val="000000"/>
          <w:spacing w:val="-13"/>
          <w:sz w:val="24"/>
        </w:rPr>
        <w:t>..</w:t>
      </w:r>
      <w:proofErr w:type="gramEnd"/>
    </w:p>
    <w:p w:rsidR="002D10DC" w:rsidRDefault="002D10DC" w:rsidP="002D10DC">
      <w:pPr>
        <w:ind w:firstLine="567"/>
        <w:jc w:val="both"/>
        <w:rPr>
          <w:sz w:val="24"/>
        </w:rPr>
      </w:pPr>
      <w:r>
        <w:rPr>
          <w:sz w:val="24"/>
        </w:rPr>
        <w:t xml:space="preserve">В 2007-2008 гг. смертность населения города Могилева  в трудоспособном возрасте составило 26,5%., т.е. четвертая часть </w:t>
      </w:r>
      <w:proofErr w:type="gramStart"/>
      <w:r>
        <w:rPr>
          <w:sz w:val="24"/>
        </w:rPr>
        <w:t>умерших</w:t>
      </w:r>
      <w:proofErr w:type="gramEnd"/>
      <w:r>
        <w:rPr>
          <w:sz w:val="24"/>
        </w:rPr>
        <w:t>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869950</wp:posOffset>
            </wp:positionV>
            <wp:extent cx="5067300" cy="2504440"/>
            <wp:effectExtent l="0" t="0" r="0" b="0"/>
            <wp:wrapTopAndBottom/>
            <wp:docPr id="10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i/>
          <w:sz w:val="24"/>
        </w:rPr>
        <w:t>Увеличилась смертность от болезней системы кровообращения на 8,8%, органов пищеварения на 6,8 %</w:t>
      </w:r>
      <w:r>
        <w:rPr>
          <w:sz w:val="24"/>
        </w:rPr>
        <w:t xml:space="preserve"> (рис. 8, 9). </w:t>
      </w:r>
      <w:r>
        <w:rPr>
          <w:i/>
          <w:sz w:val="24"/>
        </w:rPr>
        <w:t>Снизилась</w:t>
      </w:r>
      <w:r>
        <w:rPr>
          <w:sz w:val="24"/>
        </w:rPr>
        <w:t xml:space="preserve"> смертность от инфекционных и паразитарных болезней на 9,5%, онкологических заболеваний на 6,9%, органов дыхания на 6,3% и несчастных случаев, травм и воздействия внешних причин на 2,3%.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</w:p>
    <w:p w:rsidR="002D10DC" w:rsidRDefault="002D10DC" w:rsidP="002D10DC">
      <w:pPr>
        <w:ind w:left="1134" w:hanging="1134"/>
        <w:rPr>
          <w:b/>
        </w:rPr>
      </w:pPr>
      <w:r>
        <w:rPr>
          <w:b/>
        </w:rPr>
        <w:t xml:space="preserve">                      Рис. 8. Показатели смертности населения г. Могилева от </w:t>
      </w:r>
      <w:proofErr w:type="gramStart"/>
      <w:r>
        <w:rPr>
          <w:b/>
        </w:rPr>
        <w:t>злокачественных</w:t>
      </w:r>
      <w:proofErr w:type="gramEnd"/>
      <w:r>
        <w:rPr>
          <w:b/>
        </w:rPr>
        <w:t xml:space="preserve"> </w:t>
      </w:r>
    </w:p>
    <w:p w:rsidR="002D10DC" w:rsidRDefault="002D10DC" w:rsidP="002D10DC">
      <w:pPr>
        <w:rPr>
          <w:b/>
        </w:rPr>
      </w:pPr>
      <w:r>
        <w:rPr>
          <w:b/>
        </w:rPr>
        <w:t xml:space="preserve">                                  новообразований, травм, и </w:t>
      </w:r>
      <w:proofErr w:type="spellStart"/>
      <w:proofErr w:type="gramStart"/>
      <w:r>
        <w:rPr>
          <w:b/>
        </w:rPr>
        <w:t>сердечно-сосудистых</w:t>
      </w:r>
      <w:proofErr w:type="spellEnd"/>
      <w:proofErr w:type="gramEnd"/>
      <w:r>
        <w:rPr>
          <w:b/>
        </w:rPr>
        <w:t xml:space="preserve"> заболеваний в 2000-2008гг.</w:t>
      </w:r>
    </w:p>
    <w:p w:rsidR="002D10DC" w:rsidRDefault="002D10DC" w:rsidP="002D10DC">
      <w:pPr>
        <w:rPr>
          <w:b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81625" cy="26574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10DC" w:rsidRDefault="002D10DC" w:rsidP="002D10DC">
      <w:pPr>
        <w:ind w:left="1134" w:hanging="1134"/>
        <w:rPr>
          <w:b/>
        </w:rPr>
      </w:pPr>
      <w:r>
        <w:rPr>
          <w:b/>
        </w:rPr>
        <w:t xml:space="preserve">                     Рис.  9. Показатели смертности населения </w:t>
      </w:r>
      <w:proofErr w:type="gramStart"/>
      <w:r>
        <w:rPr>
          <w:b/>
        </w:rPr>
        <w:t>г</w:t>
      </w:r>
      <w:proofErr w:type="gramEnd"/>
      <w:r>
        <w:rPr>
          <w:b/>
        </w:rPr>
        <w:t>. Могилева от новообразований,  болезней</w:t>
      </w:r>
    </w:p>
    <w:p w:rsidR="002D10DC" w:rsidRDefault="002D10DC" w:rsidP="002D10DC">
      <w:pPr>
        <w:ind w:left="1134" w:hanging="1134"/>
        <w:rPr>
          <w:b/>
          <w:sz w:val="24"/>
        </w:rPr>
      </w:pPr>
      <w:r>
        <w:rPr>
          <w:b/>
        </w:rPr>
        <w:t xml:space="preserve">                                  органов  пищеварения, органов дыхания  и инфекционных заболеваний в 2000-2008г.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sz w:val="24"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sz w:val="24"/>
        </w:rPr>
        <w:t xml:space="preserve">В структуре смертности болезни системы кровообращения составляют 52%, причем в трудоспособном возрасте 31%, и занимают первое ранговое место (умерло 1993 человека) (рис. 10). </w:t>
      </w:r>
      <w:proofErr w:type="gramStart"/>
      <w:r>
        <w:rPr>
          <w:sz w:val="24"/>
        </w:rPr>
        <w:t>От ишемической болезни сердца (ИБС: острый, повторный инфаркт миокарда, хроническая ишемическая болезнь сердца и т.д.) умерло 66%, от цереброваскулярных болезней (инсульт, субарахноидальное, внутримозговое кровоизлияние и т.д.) - 27% (рис.10)</w:t>
      </w:r>
      <w:proofErr w:type="gramEnd"/>
    </w:p>
    <w:p w:rsidR="002D10DC" w:rsidRDefault="004C2077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noProof/>
          <w:sz w:val="24"/>
        </w:rPr>
        <w:lastRenderedPageBreak/>
        <w:pict>
          <v:group id="_x0000_s1043" style="position:absolute;left:0;text-align:left;margin-left:207pt;margin-top:8pt;width:224.6pt;height:184.5pt;z-index:251669504" coordorigin="5841,8154" coordsize="4492,3690" o:allowincell="f">
            <v:shape id="_x0000_s1044" type="#_x0000_t202" style="position:absolute;left:6561;top:8154;width:3772;height:3690" stroked="f">
              <v:fill opacity="0"/>
              <v:textbox style="mso-next-textbox:#_x0000_s1044">
                <w:txbxContent>
                  <w:p w:rsidR="002D10DC" w:rsidRDefault="002D10DC" w:rsidP="002D10DC">
                    <w:r>
                      <w:object w:dxaOrig="3483" w:dyaOrig="3546">
                        <v:shape id="_x0000_i1026" type="#_x0000_t75" style="width:174pt;height:177pt" o:ole="" fillcolor="window">
                          <v:fill opacity="0"/>
                          <v:imagedata r:id="rId14" o:title=""/>
                        </v:shape>
                        <o:OLEObject Type="Embed" ProgID="MSGraph.Chart.8" ShapeID="_x0000_i1026" DrawAspect="Content" ObjectID="_1307549912" r:id="rId15">
                          <o:FieldCodes>\s</o:FieldCodes>
                        </o:OLEObject>
                      </w:object>
                    </w:r>
                  </w:p>
                </w:txbxContent>
              </v:textbox>
            </v:shape>
            <v:line id="_x0000_s1045" style="position:absolute" from="5841,8694" to="8361,9054" strokecolor="maroon" strokeweight="1.5pt"/>
            <v:line id="_x0000_s1046" style="position:absolute;flip:y" from="5841,9864" to="8541,10044" strokecolor="maroon" strokeweight="1.5pt"/>
          </v:group>
        </w:pict>
      </w:r>
      <w:r w:rsidR="002D10DC">
        <w:rPr>
          <w:noProof/>
        </w:rPr>
        <w:drawing>
          <wp:inline distT="0" distB="0" distL="0" distR="0">
            <wp:extent cx="5238750" cy="25050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noProof/>
          <w:sz w:val="16"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  <w:noProof/>
        </w:rPr>
      </w:pPr>
      <w:r>
        <w:rPr>
          <w:b/>
          <w:noProof/>
          <w:sz w:val="16"/>
        </w:rPr>
        <w:t xml:space="preserve">         Рис.  10.</w:t>
      </w:r>
      <w:r>
        <w:rPr>
          <w:b/>
          <w:noProof/>
        </w:rPr>
        <w:t xml:space="preserve">  Структура смертности  населения г. Могилева в 2008г. 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sz w:val="24"/>
        </w:rPr>
        <w:t>В структуре смертности болезни органов пищеварения (хронические гепатиты, токсическое поражение печени, острый панкреатит и т.д.) составляют 4,5%, но в 2008г. данный класс вырос на 6,4% (умерло 172 человека).</w:t>
      </w:r>
    </w:p>
    <w:p w:rsidR="002D10DC" w:rsidRDefault="002D10DC" w:rsidP="002D10DC">
      <w:pPr>
        <w:ind w:right="-1" w:firstLine="567"/>
        <w:jc w:val="both"/>
        <w:rPr>
          <w:b/>
        </w:rPr>
      </w:pPr>
      <w:r>
        <w:rPr>
          <w:sz w:val="24"/>
        </w:rPr>
        <w:t xml:space="preserve">Второе место в структуре смертности занимают новообразования (17%), в т.ч. 4,7% людей умерло в трудоспособном возрасте. В 2008г. снизилась смертность от онкологических заболеваний на 6,9%. </w:t>
      </w:r>
    </w:p>
    <w:p w:rsidR="002D10DC" w:rsidRDefault="002D10DC" w:rsidP="002D10DC">
      <w:pPr>
        <w:pStyle w:val="ab"/>
        <w:ind w:firstLine="540"/>
        <w:rPr>
          <w:i/>
          <w:sz w:val="24"/>
        </w:rPr>
      </w:pPr>
      <w:r>
        <w:rPr>
          <w:i/>
          <w:sz w:val="24"/>
        </w:rPr>
        <w:t xml:space="preserve">Третье ранговое место занимают травмы, отравления и несчастные случаи (10,8%), в т.ч. в трудоспособном возрасте 28,18%. 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rPr>
          <w:sz w:val="24"/>
        </w:rPr>
      </w:pPr>
      <w:r>
        <w:t xml:space="preserve">Необходимо подчеркнуть, что в течение 3 лет в </w:t>
      </w:r>
      <w:proofErr w:type="gramStart"/>
      <w:r>
        <w:t>г</w:t>
      </w:r>
      <w:proofErr w:type="gramEnd"/>
      <w:r>
        <w:t xml:space="preserve">. Могилеве наметилась незначительная тенденция к снижению смертности от травм, несчастных случаев, отравлений и воздействий внешних причин (далее класс ХХ) на 2,3 % (рис.11). В структуре данного класса в </w:t>
      </w:r>
      <w:proofErr w:type="gramStart"/>
      <w:r>
        <w:t>последние</w:t>
      </w:r>
      <w:proofErr w:type="gramEnd"/>
      <w:r>
        <w:t xml:space="preserve"> 25 лет (1985 – 2006гг.) первое ранговое место занимала смертность от самоубийств, второе смертность от отравлений алкоголем. </w:t>
      </w:r>
      <w:r>
        <w:rPr>
          <w:i/>
        </w:rPr>
        <w:t xml:space="preserve">В 2007г. вышли на первое место случайные отравления и воздействия ядовитых веществ и в 2008г. составляют 20,1 % </w:t>
      </w:r>
      <w:r>
        <w:t xml:space="preserve">(84 человека) (рис. 11). Смертность от самоубийств сократилась и занимает в структуре 2 место (17,5% - 73 человека). </w:t>
      </w:r>
      <w:r>
        <w:rPr>
          <w:sz w:val="24"/>
        </w:rPr>
        <w:t xml:space="preserve">Несчастные случаи, связанные с транспортными средствами – 3-е ранговое место: в </w:t>
      </w:r>
      <w:r>
        <w:rPr>
          <w:i/>
          <w:sz w:val="24"/>
        </w:rPr>
        <w:t xml:space="preserve"> дорожно-транспортных </w:t>
      </w:r>
      <w:proofErr w:type="spellStart"/>
      <w:r>
        <w:rPr>
          <w:i/>
          <w:sz w:val="24"/>
        </w:rPr>
        <w:t>происествиях</w:t>
      </w:r>
      <w:proofErr w:type="spellEnd"/>
      <w:r>
        <w:rPr>
          <w:i/>
          <w:sz w:val="24"/>
        </w:rPr>
        <w:t xml:space="preserve"> погибло 47 человек (11,3%) </w:t>
      </w:r>
      <w:r>
        <w:rPr>
          <w:sz w:val="24"/>
        </w:rPr>
        <w:t xml:space="preserve">(рис.11). 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rPr>
          <w:sz w:val="24"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center"/>
        <w:rPr>
          <w:i/>
        </w:rPr>
      </w:pPr>
      <w:r>
        <w:rPr>
          <w:noProof/>
        </w:rPr>
        <w:drawing>
          <wp:inline distT="0" distB="0" distL="0" distR="0">
            <wp:extent cx="5772150" cy="26860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</w:rPr>
      </w:pPr>
      <w:r>
        <w:rPr>
          <w:b/>
        </w:rPr>
        <w:t>Рис. 11. Динамика показателей смертности населения г</w:t>
      </w:r>
      <w:proofErr w:type="gramStart"/>
      <w:r>
        <w:rPr>
          <w:b/>
        </w:rPr>
        <w:t>.М</w:t>
      </w:r>
      <w:proofErr w:type="gramEnd"/>
      <w:r>
        <w:rPr>
          <w:b/>
        </w:rPr>
        <w:t>огилева от внешних причин.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b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57150</wp:posOffset>
            </wp:positionH>
            <wp:positionV relativeFrom="paragraph">
              <wp:posOffset>775970</wp:posOffset>
            </wp:positionV>
            <wp:extent cx="5867400" cy="2476500"/>
            <wp:effectExtent l="0" t="0" r="0" b="0"/>
            <wp:wrapTopAndBottom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>
        <w:rPr>
          <w:sz w:val="24"/>
        </w:rPr>
        <w:t xml:space="preserve">В </w:t>
      </w:r>
      <w:proofErr w:type="gramStart"/>
      <w:r>
        <w:rPr>
          <w:sz w:val="24"/>
        </w:rPr>
        <w:t>последние</w:t>
      </w:r>
      <w:proofErr w:type="gramEnd"/>
      <w:r>
        <w:rPr>
          <w:sz w:val="24"/>
        </w:rPr>
        <w:t xml:space="preserve"> 3 года уровень случайных отравлений алкоголем и спиртосодержащих жидкостей колеблется, но сам показатель регистрируется на  «высоком уровне». Самый низкий уровень смертности от случайных отравлений алкоголем регистрировался в годы «сухого закона» во времена перестройки (рис.12). </w:t>
      </w:r>
    </w:p>
    <w:p w:rsidR="002D10DC" w:rsidRDefault="002D10DC" w:rsidP="002D10DC">
      <w:pPr>
        <w:ind w:right="-1" w:firstLine="567"/>
        <w:jc w:val="both"/>
      </w:pPr>
      <w:r>
        <w:t xml:space="preserve">             </w:t>
      </w:r>
    </w:p>
    <w:p w:rsidR="002D10DC" w:rsidRDefault="002D10DC" w:rsidP="002D10DC">
      <w:pPr>
        <w:pStyle w:val="31"/>
      </w:pPr>
      <w:r>
        <w:t xml:space="preserve">          Рис. 12. Динамика смертности взрослого населения от случайных отравлений алкоголем </w:t>
      </w:r>
    </w:p>
    <w:p w:rsidR="002D10DC" w:rsidRDefault="002D10DC" w:rsidP="002D10DC">
      <w:pPr>
        <w:pStyle w:val="31"/>
      </w:pPr>
      <w:r>
        <w:t xml:space="preserve">                         в 1987-2008гг. по </w:t>
      </w:r>
      <w:proofErr w:type="gramStart"/>
      <w:r>
        <w:t>г</w:t>
      </w:r>
      <w:proofErr w:type="gramEnd"/>
      <w:r>
        <w:t>. Могилеву.</w:t>
      </w:r>
    </w:p>
    <w:p w:rsidR="002D10DC" w:rsidRDefault="002D10DC" w:rsidP="002D10DC">
      <w:pPr>
        <w:jc w:val="both"/>
        <w:rPr>
          <w:b/>
        </w:rPr>
      </w:pPr>
    </w:p>
    <w:p w:rsidR="002D10DC" w:rsidRDefault="002D10DC" w:rsidP="002D10DC">
      <w:pPr>
        <w:jc w:val="both"/>
        <w:rPr>
          <w:sz w:val="24"/>
        </w:rPr>
      </w:pPr>
      <w:r>
        <w:rPr>
          <w:i/>
          <w:sz w:val="24"/>
        </w:rPr>
        <w:t xml:space="preserve">        Следует подчеркнуть, что в г</w:t>
      </w:r>
      <w:proofErr w:type="gramStart"/>
      <w:r>
        <w:rPr>
          <w:i/>
          <w:sz w:val="24"/>
        </w:rPr>
        <w:t>.М</w:t>
      </w:r>
      <w:proofErr w:type="gramEnd"/>
      <w:r>
        <w:rPr>
          <w:i/>
          <w:sz w:val="24"/>
        </w:rPr>
        <w:t>огилеве от случайных отравлений и воздействия ядовитых веществ умирает на 80% больше людей, чем гибнет в ДТП.</w:t>
      </w:r>
      <w:r>
        <w:rPr>
          <w:sz w:val="24"/>
        </w:rPr>
        <w:t xml:space="preserve"> Несмотря на широкую антиалкогольную пропаганду по формированию здорового образа жизни в рамках реализации государственной программы демографической безопасности не удается значительно сократить количество случайных отравлений алкоголем, спиртосодержащими жидкостями в связи с безразличным отношением к своему здоровью части населения и злоупотреблением спиртосодержащих жидкостей.</w:t>
      </w:r>
    </w:p>
    <w:p w:rsidR="002D10DC" w:rsidRDefault="002D10DC" w:rsidP="002D10DC">
      <w:pPr>
        <w:ind w:firstLine="540"/>
        <w:jc w:val="both"/>
        <w:rPr>
          <w:b/>
          <w:sz w:val="24"/>
        </w:rPr>
      </w:pPr>
      <w:r>
        <w:rPr>
          <w:sz w:val="24"/>
        </w:rPr>
        <w:t xml:space="preserve">Проведен выборочный анализ причин смертности </w:t>
      </w:r>
      <w:r>
        <w:rPr>
          <w:i/>
          <w:sz w:val="24"/>
        </w:rPr>
        <w:t xml:space="preserve">трудоспособного населения </w:t>
      </w:r>
      <w:r>
        <w:rPr>
          <w:sz w:val="24"/>
        </w:rPr>
        <w:t xml:space="preserve">за период 2007-2008гг. на основании данных, полученных из Могилевского областного управления статистики, управления по труду, занятости и социальной защите Могилевского горисполкома, от администрации промышленных предприятий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Могилева. В период 2006-2008гг. несчастные случаи со смертельным исходом зарегистрированы на 11-12 предприятиях города. Смертность, обусловленная профессиональными заболеваниями, острыми и хроническими отравлениями не регистрировалась. Большинство несчастных случаев со смертельным исходом на промышленных предприятиях города происходят при грубых нарушениях правил техники безопасности и в случаях,  связанных с </w:t>
      </w:r>
      <w:r>
        <w:rPr>
          <w:i/>
          <w:sz w:val="24"/>
        </w:rPr>
        <w:t>употреблением алкогольных напитков с последующим нарушением техники безопасности.</w:t>
      </w:r>
      <w:r>
        <w:rPr>
          <w:sz w:val="24"/>
        </w:rPr>
        <w:t xml:space="preserve"> Зарегистрированы случаи со смертельным исходом по вышеуказанным причинам в</w:t>
      </w:r>
      <w:r>
        <w:rPr>
          <w:spacing w:val="-13"/>
          <w:sz w:val="24"/>
        </w:rPr>
        <w:t xml:space="preserve"> СУ-59 ОАО «Стройтрест №12»,</w:t>
      </w:r>
      <w:r>
        <w:rPr>
          <w:spacing w:val="-5"/>
          <w:sz w:val="24"/>
        </w:rPr>
        <w:t xml:space="preserve"> РУП «Могилевский домостроительный комбинат», ООО «</w:t>
      </w:r>
      <w:proofErr w:type="spellStart"/>
      <w:r>
        <w:rPr>
          <w:spacing w:val="-5"/>
          <w:sz w:val="24"/>
        </w:rPr>
        <w:t>Спецлит</w:t>
      </w:r>
      <w:proofErr w:type="spellEnd"/>
      <w:r>
        <w:rPr>
          <w:spacing w:val="-5"/>
          <w:sz w:val="24"/>
        </w:rPr>
        <w:t xml:space="preserve">», </w:t>
      </w:r>
      <w:r>
        <w:rPr>
          <w:sz w:val="24"/>
        </w:rPr>
        <w:t xml:space="preserve"> Быховский лесопункт ОАО «</w:t>
      </w:r>
      <w:proofErr w:type="spellStart"/>
      <w:r>
        <w:rPr>
          <w:sz w:val="24"/>
        </w:rPr>
        <w:t>Могилевлес</w:t>
      </w:r>
      <w:proofErr w:type="spellEnd"/>
      <w:r>
        <w:rPr>
          <w:sz w:val="24"/>
        </w:rPr>
        <w:t xml:space="preserve">», </w:t>
      </w:r>
      <w:r>
        <w:rPr>
          <w:spacing w:val="-5"/>
          <w:sz w:val="24"/>
        </w:rPr>
        <w:t>ОДО «</w:t>
      </w:r>
      <w:proofErr w:type="spellStart"/>
      <w:r>
        <w:rPr>
          <w:spacing w:val="-5"/>
          <w:sz w:val="24"/>
        </w:rPr>
        <w:t>Альбенга</w:t>
      </w:r>
      <w:proofErr w:type="spellEnd"/>
      <w:r>
        <w:rPr>
          <w:spacing w:val="-5"/>
          <w:sz w:val="24"/>
        </w:rPr>
        <w:t>», Ф-л «МСУ-1» РУП «</w:t>
      </w:r>
      <w:proofErr w:type="spellStart"/>
      <w:r>
        <w:rPr>
          <w:spacing w:val="-5"/>
          <w:sz w:val="24"/>
        </w:rPr>
        <w:t>Мостострой</w:t>
      </w:r>
      <w:proofErr w:type="spellEnd"/>
      <w:r>
        <w:rPr>
          <w:spacing w:val="-5"/>
          <w:sz w:val="24"/>
        </w:rPr>
        <w:t>», ОАО «</w:t>
      </w:r>
      <w:proofErr w:type="spellStart"/>
      <w:r>
        <w:rPr>
          <w:spacing w:val="-5"/>
          <w:sz w:val="24"/>
        </w:rPr>
        <w:t>Могилевхлебопродукт</w:t>
      </w:r>
      <w:proofErr w:type="spellEnd"/>
      <w:r>
        <w:rPr>
          <w:spacing w:val="-5"/>
          <w:sz w:val="24"/>
        </w:rPr>
        <w:t>»,</w:t>
      </w:r>
      <w:r>
        <w:rPr>
          <w:spacing w:val="-4"/>
          <w:sz w:val="24"/>
        </w:rPr>
        <w:t xml:space="preserve"> ОАО «Могилевский металлургический завод». В </w:t>
      </w:r>
      <w:r>
        <w:rPr>
          <w:sz w:val="24"/>
        </w:rPr>
        <w:t xml:space="preserve">целом по городу количество смертельных случаев, связанных с употреблением алкоголя в рабочее время в 2008г. в сравнении с предыдущим годом,  возросло. 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sz w:val="24"/>
        </w:rPr>
        <w:t>На большинстве промпредприятий прослеживается смертность трудоспособного населения, в первую очередь, от болезней системы кровообращения, новообразований, травм и отравлений (ЗАО «Могилевский комбинат силикатных изделий», филиал РУПП «</w:t>
      </w:r>
      <w:proofErr w:type="spellStart"/>
      <w:r>
        <w:rPr>
          <w:sz w:val="24"/>
        </w:rPr>
        <w:t>БелаАЗ</w:t>
      </w:r>
      <w:proofErr w:type="spellEnd"/>
      <w:r>
        <w:rPr>
          <w:sz w:val="24"/>
        </w:rPr>
        <w:t>» и т.д.).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Резюме. В целом, в ходе </w:t>
      </w:r>
      <w:proofErr w:type="gramStart"/>
      <w:r>
        <w:rPr>
          <w:sz w:val="24"/>
        </w:rPr>
        <w:t xml:space="preserve">реализации мероприятий </w:t>
      </w:r>
      <w:r>
        <w:rPr>
          <w:b/>
          <w:sz w:val="24"/>
        </w:rPr>
        <w:t>Национальной программы демографической безопасности Республики</w:t>
      </w:r>
      <w:proofErr w:type="gramEnd"/>
      <w:r>
        <w:rPr>
          <w:b/>
          <w:sz w:val="24"/>
        </w:rPr>
        <w:t xml:space="preserve"> Беларусь </w:t>
      </w:r>
      <w:r>
        <w:rPr>
          <w:sz w:val="24"/>
        </w:rPr>
        <w:t>в 2008 году удалось незначительно изменить тенденции таких демографических показателей, как рождаемость, младенческая и перинатальная смертность, в сторону улучшения.</w:t>
      </w:r>
    </w:p>
    <w:p w:rsidR="002D10DC" w:rsidRDefault="002D10DC" w:rsidP="002D10DC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</w:rPr>
      </w:pPr>
      <w:r>
        <w:rPr>
          <w:sz w:val="24"/>
        </w:rPr>
        <w:t xml:space="preserve">Однако, многолетнее снижение уровня естественного воспроизводства населения в сочетании с увеличением абсолютной численности людей старших возрастов, рост показателей смертности,  спад рождаемости в 90-е годы прошлого столетия, обусловливают  демографическое старение </w:t>
      </w:r>
      <w:proofErr w:type="spellStart"/>
      <w:r>
        <w:rPr>
          <w:sz w:val="24"/>
        </w:rPr>
        <w:t>могилевчан</w:t>
      </w:r>
      <w:proofErr w:type="spellEnd"/>
      <w:r>
        <w:rPr>
          <w:sz w:val="24"/>
        </w:rPr>
        <w:t>.</w:t>
      </w:r>
    </w:p>
    <w:p w:rsidR="00B34C02" w:rsidRDefault="00B34C02"/>
    <w:sectPr w:rsidR="00B34C02" w:rsidSect="00B3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DC"/>
    <w:rsid w:val="00011CB9"/>
    <w:rsid w:val="00023BCF"/>
    <w:rsid w:val="00026A3D"/>
    <w:rsid w:val="00031A5A"/>
    <w:rsid w:val="000331AD"/>
    <w:rsid w:val="00034E97"/>
    <w:rsid w:val="0004017E"/>
    <w:rsid w:val="00061206"/>
    <w:rsid w:val="00077E0A"/>
    <w:rsid w:val="000860AE"/>
    <w:rsid w:val="00091A45"/>
    <w:rsid w:val="000970E8"/>
    <w:rsid w:val="000A2B1D"/>
    <w:rsid w:val="000A57E2"/>
    <w:rsid w:val="000B23E4"/>
    <w:rsid w:val="000B398F"/>
    <w:rsid w:val="000C627D"/>
    <w:rsid w:val="000D68ED"/>
    <w:rsid w:val="000D76CE"/>
    <w:rsid w:val="000E0B8A"/>
    <w:rsid w:val="000E3EAD"/>
    <w:rsid w:val="000F0596"/>
    <w:rsid w:val="000F070B"/>
    <w:rsid w:val="00111F82"/>
    <w:rsid w:val="001133D4"/>
    <w:rsid w:val="00115857"/>
    <w:rsid w:val="00121CFB"/>
    <w:rsid w:val="00122EC8"/>
    <w:rsid w:val="00133D71"/>
    <w:rsid w:val="00162FF7"/>
    <w:rsid w:val="0018021F"/>
    <w:rsid w:val="001961EB"/>
    <w:rsid w:val="001A371D"/>
    <w:rsid w:val="001A6DF4"/>
    <w:rsid w:val="001B18D1"/>
    <w:rsid w:val="001B1FFB"/>
    <w:rsid w:val="001B32F2"/>
    <w:rsid w:val="001B767B"/>
    <w:rsid w:val="001B7B03"/>
    <w:rsid w:val="001B7B86"/>
    <w:rsid w:val="001C0657"/>
    <w:rsid w:val="001C2BFA"/>
    <w:rsid w:val="001C4FFC"/>
    <w:rsid w:val="001E449B"/>
    <w:rsid w:val="001E5D86"/>
    <w:rsid w:val="001E76E1"/>
    <w:rsid w:val="001F01FA"/>
    <w:rsid w:val="001F3BD0"/>
    <w:rsid w:val="001F5619"/>
    <w:rsid w:val="001F6258"/>
    <w:rsid w:val="002117C0"/>
    <w:rsid w:val="00226CC8"/>
    <w:rsid w:val="00230602"/>
    <w:rsid w:val="002344A7"/>
    <w:rsid w:val="00235244"/>
    <w:rsid w:val="002401FE"/>
    <w:rsid w:val="00246A2B"/>
    <w:rsid w:val="0024758A"/>
    <w:rsid w:val="00253CDC"/>
    <w:rsid w:val="00263DB9"/>
    <w:rsid w:val="00270878"/>
    <w:rsid w:val="00270DBF"/>
    <w:rsid w:val="002743E4"/>
    <w:rsid w:val="0028353B"/>
    <w:rsid w:val="00283B94"/>
    <w:rsid w:val="00283F1A"/>
    <w:rsid w:val="002940A5"/>
    <w:rsid w:val="002A0C43"/>
    <w:rsid w:val="002B0FEE"/>
    <w:rsid w:val="002B3F68"/>
    <w:rsid w:val="002B573C"/>
    <w:rsid w:val="002C7C29"/>
    <w:rsid w:val="002C7F4F"/>
    <w:rsid w:val="002D10DC"/>
    <w:rsid w:val="002D5394"/>
    <w:rsid w:val="002E1D6B"/>
    <w:rsid w:val="002E47DC"/>
    <w:rsid w:val="002E6413"/>
    <w:rsid w:val="00301403"/>
    <w:rsid w:val="003025B4"/>
    <w:rsid w:val="003050CE"/>
    <w:rsid w:val="00305AE4"/>
    <w:rsid w:val="00307F21"/>
    <w:rsid w:val="003116CE"/>
    <w:rsid w:val="003128C7"/>
    <w:rsid w:val="00353856"/>
    <w:rsid w:val="003608F4"/>
    <w:rsid w:val="0036172D"/>
    <w:rsid w:val="00380439"/>
    <w:rsid w:val="00380EDF"/>
    <w:rsid w:val="003935F7"/>
    <w:rsid w:val="00396EC0"/>
    <w:rsid w:val="003A6743"/>
    <w:rsid w:val="003B34D8"/>
    <w:rsid w:val="003B7963"/>
    <w:rsid w:val="003D061C"/>
    <w:rsid w:val="003D7435"/>
    <w:rsid w:val="003E02E7"/>
    <w:rsid w:val="003E1A4E"/>
    <w:rsid w:val="003E5D44"/>
    <w:rsid w:val="003F20B9"/>
    <w:rsid w:val="003F3410"/>
    <w:rsid w:val="003F3731"/>
    <w:rsid w:val="003F778A"/>
    <w:rsid w:val="00404494"/>
    <w:rsid w:val="0041522D"/>
    <w:rsid w:val="00426120"/>
    <w:rsid w:val="004314B6"/>
    <w:rsid w:val="00452C6E"/>
    <w:rsid w:val="004550D5"/>
    <w:rsid w:val="00455167"/>
    <w:rsid w:val="00455E60"/>
    <w:rsid w:val="00457BAF"/>
    <w:rsid w:val="00460F15"/>
    <w:rsid w:val="00464AC1"/>
    <w:rsid w:val="00466CD5"/>
    <w:rsid w:val="004731D7"/>
    <w:rsid w:val="00474232"/>
    <w:rsid w:val="00475F27"/>
    <w:rsid w:val="00487638"/>
    <w:rsid w:val="004977A9"/>
    <w:rsid w:val="004A0467"/>
    <w:rsid w:val="004A2351"/>
    <w:rsid w:val="004B31F1"/>
    <w:rsid w:val="004B37E8"/>
    <w:rsid w:val="004B6FE1"/>
    <w:rsid w:val="004C0523"/>
    <w:rsid w:val="004C2077"/>
    <w:rsid w:val="004C7068"/>
    <w:rsid w:val="004D3CB0"/>
    <w:rsid w:val="004E043A"/>
    <w:rsid w:val="004E5FAA"/>
    <w:rsid w:val="00504DA6"/>
    <w:rsid w:val="00505E17"/>
    <w:rsid w:val="00540E9A"/>
    <w:rsid w:val="00555834"/>
    <w:rsid w:val="00555911"/>
    <w:rsid w:val="00565FCE"/>
    <w:rsid w:val="0057124E"/>
    <w:rsid w:val="0057768D"/>
    <w:rsid w:val="00586494"/>
    <w:rsid w:val="00594A62"/>
    <w:rsid w:val="00595EBA"/>
    <w:rsid w:val="00597CE7"/>
    <w:rsid w:val="005D7370"/>
    <w:rsid w:val="005E4611"/>
    <w:rsid w:val="005E463B"/>
    <w:rsid w:val="005F45CA"/>
    <w:rsid w:val="005F7D00"/>
    <w:rsid w:val="005F7EAE"/>
    <w:rsid w:val="0060101E"/>
    <w:rsid w:val="00601BEF"/>
    <w:rsid w:val="00603049"/>
    <w:rsid w:val="006042FF"/>
    <w:rsid w:val="00606A31"/>
    <w:rsid w:val="006119BD"/>
    <w:rsid w:val="00612237"/>
    <w:rsid w:val="00612966"/>
    <w:rsid w:val="00617DE3"/>
    <w:rsid w:val="006230EA"/>
    <w:rsid w:val="0063293C"/>
    <w:rsid w:val="006345AE"/>
    <w:rsid w:val="00635238"/>
    <w:rsid w:val="00644EE6"/>
    <w:rsid w:val="00647361"/>
    <w:rsid w:val="00653208"/>
    <w:rsid w:val="006555AD"/>
    <w:rsid w:val="00656656"/>
    <w:rsid w:val="00664868"/>
    <w:rsid w:val="00667E2A"/>
    <w:rsid w:val="00673939"/>
    <w:rsid w:val="006827B0"/>
    <w:rsid w:val="00692253"/>
    <w:rsid w:val="00695EC3"/>
    <w:rsid w:val="00697129"/>
    <w:rsid w:val="00697E21"/>
    <w:rsid w:val="006A1310"/>
    <w:rsid w:val="006A6027"/>
    <w:rsid w:val="006D0DF8"/>
    <w:rsid w:val="006D2014"/>
    <w:rsid w:val="006E1CB0"/>
    <w:rsid w:val="006F2740"/>
    <w:rsid w:val="00707702"/>
    <w:rsid w:val="00710BEC"/>
    <w:rsid w:val="0071521C"/>
    <w:rsid w:val="00721C0F"/>
    <w:rsid w:val="007240F1"/>
    <w:rsid w:val="00747EA3"/>
    <w:rsid w:val="007550C9"/>
    <w:rsid w:val="007737E7"/>
    <w:rsid w:val="007848FB"/>
    <w:rsid w:val="00784EBE"/>
    <w:rsid w:val="007873EF"/>
    <w:rsid w:val="00791C0C"/>
    <w:rsid w:val="0079674B"/>
    <w:rsid w:val="007A29E5"/>
    <w:rsid w:val="007A4D60"/>
    <w:rsid w:val="007C42D3"/>
    <w:rsid w:val="007D0477"/>
    <w:rsid w:val="007D12BB"/>
    <w:rsid w:val="007D5AFA"/>
    <w:rsid w:val="007E1A94"/>
    <w:rsid w:val="007E4808"/>
    <w:rsid w:val="007F2222"/>
    <w:rsid w:val="007F38EC"/>
    <w:rsid w:val="008000DC"/>
    <w:rsid w:val="00806ABD"/>
    <w:rsid w:val="00807663"/>
    <w:rsid w:val="0081211E"/>
    <w:rsid w:val="00822528"/>
    <w:rsid w:val="00823BFC"/>
    <w:rsid w:val="00841EC6"/>
    <w:rsid w:val="00842218"/>
    <w:rsid w:val="00842850"/>
    <w:rsid w:val="008506F2"/>
    <w:rsid w:val="008558A8"/>
    <w:rsid w:val="008614FA"/>
    <w:rsid w:val="00861DFE"/>
    <w:rsid w:val="008833B1"/>
    <w:rsid w:val="00893067"/>
    <w:rsid w:val="008A045E"/>
    <w:rsid w:val="008A3E10"/>
    <w:rsid w:val="008B7252"/>
    <w:rsid w:val="008C2736"/>
    <w:rsid w:val="008C33C8"/>
    <w:rsid w:val="008C56FC"/>
    <w:rsid w:val="008D3A86"/>
    <w:rsid w:val="008D3C90"/>
    <w:rsid w:val="008D5D6A"/>
    <w:rsid w:val="008E3235"/>
    <w:rsid w:val="008F2087"/>
    <w:rsid w:val="008F28BE"/>
    <w:rsid w:val="008F4157"/>
    <w:rsid w:val="00901DE3"/>
    <w:rsid w:val="0091048D"/>
    <w:rsid w:val="00913955"/>
    <w:rsid w:val="009141B1"/>
    <w:rsid w:val="00914881"/>
    <w:rsid w:val="00914EB5"/>
    <w:rsid w:val="009412A5"/>
    <w:rsid w:val="00944DA4"/>
    <w:rsid w:val="00974F09"/>
    <w:rsid w:val="009919DE"/>
    <w:rsid w:val="009927FD"/>
    <w:rsid w:val="0099568C"/>
    <w:rsid w:val="009979EE"/>
    <w:rsid w:val="009B2601"/>
    <w:rsid w:val="009B5A0A"/>
    <w:rsid w:val="009C6D84"/>
    <w:rsid w:val="009D7E2A"/>
    <w:rsid w:val="00A02650"/>
    <w:rsid w:val="00A0343D"/>
    <w:rsid w:val="00A10425"/>
    <w:rsid w:val="00A15BB1"/>
    <w:rsid w:val="00A21FAE"/>
    <w:rsid w:val="00A324F8"/>
    <w:rsid w:val="00A34D7D"/>
    <w:rsid w:val="00A35279"/>
    <w:rsid w:val="00A47CEB"/>
    <w:rsid w:val="00A67110"/>
    <w:rsid w:val="00A7285A"/>
    <w:rsid w:val="00A81267"/>
    <w:rsid w:val="00A84CD7"/>
    <w:rsid w:val="00A87093"/>
    <w:rsid w:val="00A94407"/>
    <w:rsid w:val="00A97D87"/>
    <w:rsid w:val="00AA4CDB"/>
    <w:rsid w:val="00AB1997"/>
    <w:rsid w:val="00AC47F5"/>
    <w:rsid w:val="00AE7727"/>
    <w:rsid w:val="00AF1757"/>
    <w:rsid w:val="00B01DF1"/>
    <w:rsid w:val="00B2178B"/>
    <w:rsid w:val="00B21797"/>
    <w:rsid w:val="00B34C02"/>
    <w:rsid w:val="00B42CFA"/>
    <w:rsid w:val="00B5443C"/>
    <w:rsid w:val="00B60DCB"/>
    <w:rsid w:val="00B6271D"/>
    <w:rsid w:val="00B6388F"/>
    <w:rsid w:val="00B71A39"/>
    <w:rsid w:val="00B807C7"/>
    <w:rsid w:val="00BA4483"/>
    <w:rsid w:val="00BA53F9"/>
    <w:rsid w:val="00BA7508"/>
    <w:rsid w:val="00BB05CD"/>
    <w:rsid w:val="00BB58C3"/>
    <w:rsid w:val="00BC021F"/>
    <w:rsid w:val="00BC294E"/>
    <w:rsid w:val="00BC3F71"/>
    <w:rsid w:val="00BD193C"/>
    <w:rsid w:val="00BE500D"/>
    <w:rsid w:val="00C002C4"/>
    <w:rsid w:val="00C00FB2"/>
    <w:rsid w:val="00C05ECD"/>
    <w:rsid w:val="00C10E56"/>
    <w:rsid w:val="00C14B05"/>
    <w:rsid w:val="00C17495"/>
    <w:rsid w:val="00C24AFA"/>
    <w:rsid w:val="00C271F6"/>
    <w:rsid w:val="00C31213"/>
    <w:rsid w:val="00C57663"/>
    <w:rsid w:val="00C5799D"/>
    <w:rsid w:val="00C61766"/>
    <w:rsid w:val="00C638BD"/>
    <w:rsid w:val="00C704BA"/>
    <w:rsid w:val="00C71829"/>
    <w:rsid w:val="00C753CA"/>
    <w:rsid w:val="00C80F92"/>
    <w:rsid w:val="00C83478"/>
    <w:rsid w:val="00C83889"/>
    <w:rsid w:val="00CB2BDC"/>
    <w:rsid w:val="00CB645E"/>
    <w:rsid w:val="00CB7C8A"/>
    <w:rsid w:val="00CC036D"/>
    <w:rsid w:val="00CC22CA"/>
    <w:rsid w:val="00CD09B2"/>
    <w:rsid w:val="00CD319B"/>
    <w:rsid w:val="00CD4793"/>
    <w:rsid w:val="00CD5E0B"/>
    <w:rsid w:val="00CD604B"/>
    <w:rsid w:val="00CE0653"/>
    <w:rsid w:val="00CE1626"/>
    <w:rsid w:val="00CF370F"/>
    <w:rsid w:val="00CF3A0A"/>
    <w:rsid w:val="00CF62B7"/>
    <w:rsid w:val="00D05059"/>
    <w:rsid w:val="00D05093"/>
    <w:rsid w:val="00D112D3"/>
    <w:rsid w:val="00D22735"/>
    <w:rsid w:val="00D3493F"/>
    <w:rsid w:val="00D52670"/>
    <w:rsid w:val="00D531DE"/>
    <w:rsid w:val="00D567D6"/>
    <w:rsid w:val="00D56836"/>
    <w:rsid w:val="00D701EF"/>
    <w:rsid w:val="00D818CF"/>
    <w:rsid w:val="00D85BF3"/>
    <w:rsid w:val="00D937E4"/>
    <w:rsid w:val="00DB36A2"/>
    <w:rsid w:val="00DB704A"/>
    <w:rsid w:val="00DC02FF"/>
    <w:rsid w:val="00DC44FB"/>
    <w:rsid w:val="00DC5E77"/>
    <w:rsid w:val="00DD521A"/>
    <w:rsid w:val="00DE0B5B"/>
    <w:rsid w:val="00DE2DD5"/>
    <w:rsid w:val="00DE4A01"/>
    <w:rsid w:val="00DE6A08"/>
    <w:rsid w:val="00E06CE9"/>
    <w:rsid w:val="00E10F49"/>
    <w:rsid w:val="00E14913"/>
    <w:rsid w:val="00E2111B"/>
    <w:rsid w:val="00E2406E"/>
    <w:rsid w:val="00E2519D"/>
    <w:rsid w:val="00E428DD"/>
    <w:rsid w:val="00E43BF2"/>
    <w:rsid w:val="00E46E02"/>
    <w:rsid w:val="00E47B1F"/>
    <w:rsid w:val="00E47D55"/>
    <w:rsid w:val="00E53408"/>
    <w:rsid w:val="00E57CED"/>
    <w:rsid w:val="00E64632"/>
    <w:rsid w:val="00E71B30"/>
    <w:rsid w:val="00E71C3F"/>
    <w:rsid w:val="00E77167"/>
    <w:rsid w:val="00E96ED1"/>
    <w:rsid w:val="00E96F8F"/>
    <w:rsid w:val="00EA1422"/>
    <w:rsid w:val="00EA4C20"/>
    <w:rsid w:val="00EA5B00"/>
    <w:rsid w:val="00EA6C93"/>
    <w:rsid w:val="00EB1C78"/>
    <w:rsid w:val="00EB2DB0"/>
    <w:rsid w:val="00EB2F40"/>
    <w:rsid w:val="00EC1648"/>
    <w:rsid w:val="00EC1AD4"/>
    <w:rsid w:val="00EC3CC8"/>
    <w:rsid w:val="00EC4CB8"/>
    <w:rsid w:val="00EC6428"/>
    <w:rsid w:val="00ED310D"/>
    <w:rsid w:val="00EE749A"/>
    <w:rsid w:val="00EE77A2"/>
    <w:rsid w:val="00EF3D58"/>
    <w:rsid w:val="00EF55E1"/>
    <w:rsid w:val="00EF7641"/>
    <w:rsid w:val="00F00B92"/>
    <w:rsid w:val="00F0166A"/>
    <w:rsid w:val="00F04166"/>
    <w:rsid w:val="00F1603F"/>
    <w:rsid w:val="00F17C00"/>
    <w:rsid w:val="00F32C71"/>
    <w:rsid w:val="00F364C5"/>
    <w:rsid w:val="00F41076"/>
    <w:rsid w:val="00F56B63"/>
    <w:rsid w:val="00F606A3"/>
    <w:rsid w:val="00F61A47"/>
    <w:rsid w:val="00F62428"/>
    <w:rsid w:val="00F725F0"/>
    <w:rsid w:val="00F815B7"/>
    <w:rsid w:val="00F86624"/>
    <w:rsid w:val="00F901BE"/>
    <w:rsid w:val="00F92FD8"/>
    <w:rsid w:val="00F94FC8"/>
    <w:rsid w:val="00F950DE"/>
    <w:rsid w:val="00FA0338"/>
    <w:rsid w:val="00FA1865"/>
    <w:rsid w:val="00FA4F15"/>
    <w:rsid w:val="00FA5CC9"/>
    <w:rsid w:val="00FB43FF"/>
    <w:rsid w:val="00FB5DED"/>
    <w:rsid w:val="00FB647D"/>
    <w:rsid w:val="00FB7B8B"/>
    <w:rsid w:val="00FD66C2"/>
    <w:rsid w:val="00FF0638"/>
    <w:rsid w:val="00FF1734"/>
    <w:rsid w:val="00FF3BC8"/>
    <w:rsid w:val="00FF4FB5"/>
    <w:rsid w:val="00FF55CC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D10DC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D10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D10DC"/>
    <w:pPr>
      <w:keepNext/>
      <w:jc w:val="both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2D10DC"/>
    <w:pPr>
      <w:keepNext/>
      <w:ind w:firstLine="567"/>
      <w:jc w:val="center"/>
      <w:outlineLvl w:val="5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0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10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10D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2D10D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D1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D10DC"/>
    <w:pPr>
      <w:ind w:firstLine="567"/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2D1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2D10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2D1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D10DC"/>
    <w:pPr>
      <w:jc w:val="center"/>
    </w:pPr>
    <w:rPr>
      <w:b/>
      <w:sz w:val="28"/>
      <w:lang w:val="be-BY"/>
    </w:rPr>
  </w:style>
  <w:style w:type="character" w:customStyle="1" w:styleId="aa">
    <w:name w:val="Основной текст Знак"/>
    <w:basedOn w:val="a0"/>
    <w:link w:val="a9"/>
    <w:rsid w:val="002D10DC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b">
    <w:name w:val="Body Text Indent"/>
    <w:basedOn w:val="a"/>
    <w:link w:val="ac"/>
    <w:rsid w:val="002D10DC"/>
    <w:pPr>
      <w:ind w:firstLine="108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D1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D10DC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rsid w:val="002D10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10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1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8.xml"/><Relationship Id="rId18" Type="http://schemas.openxmlformats.org/officeDocument/2006/relationships/chart" Target="charts/chart1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7.xml"/><Relationship Id="rId17" Type="http://schemas.openxmlformats.org/officeDocument/2006/relationships/chart" Target="charts/chart10.xml"/><Relationship Id="rId2" Type="http://schemas.openxmlformats.org/officeDocument/2006/relationships/settings" Target="setting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oleObject" Target="embeddings/oleObject1.bin"/><Relationship Id="rId5" Type="http://schemas.openxmlformats.org/officeDocument/2006/relationships/chart" Target="charts/chart2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5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4462540716612461E-2"/>
          <c:y val="4.6025104602510455E-2"/>
          <c:w val="0.84527687296416965"/>
          <c:h val="0.690376569037655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1888448484154892E-2"/>
                  <c:y val="-5.28339686732081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4089428686109804E-2"/>
                  <c:y val="-5.143918914657517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7.9192416313783442E-3"/>
                  <c:y val="-6.817535265872669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722827696525308E-2"/>
                  <c:y val="-5.632050996902081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324459364278306E-2"/>
                  <c:y val="-5.980724355818371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7812252765572854E-2"/>
                  <c:y val="5.455824726552013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9785219938211741E-2"/>
                  <c:y val="4.828190875495305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1530174081534636E-2"/>
                  <c:y val="4.270340457581439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3047115195541786E-2"/>
                  <c:y val="4.7584541925705846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5020250616380146E-2"/>
                  <c:y val="3.4335203738994249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0022533749931378E-2"/>
                  <c:y val="4.479522103392867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3.3396152388368044E-2"/>
                  <c:y val="2.5966957034035652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4.4913261750574897E-2"/>
                  <c:y val="-6.3293839542931052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5.154420937923971E-2"/>
                  <c:y val="-7.821733479564491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Sheet1!$B$1:$O$1</c:f>
              <c:numCache>
                <c:formatCode>General</c:formatCode>
                <c:ptCount val="14"/>
                <c:pt idx="0">
                  <c:v>1990</c:v>
                </c:pt>
                <c:pt idx="1">
                  <c:v>1991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1998</c:v>
                </c:pt>
                <c:pt idx="7">
                  <c:v>1999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2005</c:v>
                </c:pt>
                <c:pt idx="12">
                  <c:v>2007</c:v>
                </c:pt>
                <c:pt idx="13">
                  <c:v>2008</c:v>
                </c:pt>
              </c:numCache>
            </c:numRef>
          </c:cat>
          <c:val>
            <c:numRef>
              <c:f>Sheet1!$B$2:$O$2</c:f>
              <c:numCache>
                <c:formatCode>General</c:formatCode>
                <c:ptCount val="14"/>
                <c:pt idx="0">
                  <c:v>13.9</c:v>
                </c:pt>
                <c:pt idx="1">
                  <c:v>13.1</c:v>
                </c:pt>
                <c:pt idx="2">
                  <c:v>10.7</c:v>
                </c:pt>
                <c:pt idx="3">
                  <c:v>10.200000000000001</c:v>
                </c:pt>
                <c:pt idx="4">
                  <c:v>9.5</c:v>
                </c:pt>
                <c:pt idx="5">
                  <c:v>8.7000000000000011</c:v>
                </c:pt>
                <c:pt idx="6">
                  <c:v>9</c:v>
                </c:pt>
                <c:pt idx="7">
                  <c:v>9.2000000000000011</c:v>
                </c:pt>
                <c:pt idx="8">
                  <c:v>9.7000000000000011</c:v>
                </c:pt>
                <c:pt idx="9">
                  <c:v>9.2000000000000011</c:v>
                </c:pt>
                <c:pt idx="10">
                  <c:v>8.9</c:v>
                </c:pt>
                <c:pt idx="11">
                  <c:v>8.6</c:v>
                </c:pt>
                <c:pt idx="12">
                  <c:v>10.6</c:v>
                </c:pt>
                <c:pt idx="13">
                  <c:v>11.06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1836386901148769E-2"/>
                  <c:y val="3.642730422673590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867985995611692E-2"/>
                  <c:y val="-7.026744432567258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16131083871343E-2"/>
                  <c:y val="-7.026735258939532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7071417579317292E-2"/>
                  <c:y val="3.29403324760843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445036217754216E-2"/>
                  <c:y val="2.596700290217416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7076152094618862E-2"/>
                  <c:y val="-8.42144792393969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078435228169793E-2"/>
                  <c:y val="-6.3991298108455191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8709382856834703E-2"/>
                  <c:y val="-8.142511247948122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905368553435961E-2"/>
                  <c:y val="-7.09646276823654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7541478935654113E-2"/>
                  <c:y val="-6.7477939961341146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3.4400439593634972E-2"/>
                  <c:y val="-6.189943578220241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9630735756501842E-2"/>
                  <c:y val="-5.9807197690045229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974719365291047E-2"/>
                  <c:y val="3.9774298767677595E-2"/>
                </c:manualLayout>
              </c:layout>
              <c:dLblPos val="r"/>
              <c:showVal val="1"/>
            </c:dLbl>
            <c:dLbl>
              <c:idx val="13"/>
              <c:layout>
                <c:manualLayout>
                  <c:x val="-3.80068057766898E-2"/>
                  <c:y val="3.5450743330673433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Sheet1!$B$1:$O$1</c:f>
              <c:numCache>
                <c:formatCode>General</c:formatCode>
                <c:ptCount val="14"/>
                <c:pt idx="0">
                  <c:v>1990</c:v>
                </c:pt>
                <c:pt idx="1">
                  <c:v>1991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1998</c:v>
                </c:pt>
                <c:pt idx="7">
                  <c:v>1999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2005</c:v>
                </c:pt>
                <c:pt idx="12">
                  <c:v>2007</c:v>
                </c:pt>
                <c:pt idx="13">
                  <c:v>2008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7.1</c:v>
                </c:pt>
                <c:pt idx="1">
                  <c:v>7.4</c:v>
                </c:pt>
                <c:pt idx="2">
                  <c:v>8.6</c:v>
                </c:pt>
                <c:pt idx="3">
                  <c:v>8.8000000000000007</c:v>
                </c:pt>
                <c:pt idx="4">
                  <c:v>9.2000000000000011</c:v>
                </c:pt>
                <c:pt idx="5">
                  <c:v>8.8000000000000007</c:v>
                </c:pt>
                <c:pt idx="6">
                  <c:v>10.1</c:v>
                </c:pt>
                <c:pt idx="7">
                  <c:v>10.200000000000001</c:v>
                </c:pt>
                <c:pt idx="8">
                  <c:v>10.5</c:v>
                </c:pt>
                <c:pt idx="9">
                  <c:v>10.6</c:v>
                </c:pt>
                <c:pt idx="10">
                  <c:v>10.4</c:v>
                </c:pt>
                <c:pt idx="11">
                  <c:v>10.1</c:v>
                </c:pt>
                <c:pt idx="12">
                  <c:v>9.98</c:v>
                </c:pt>
                <c:pt idx="13">
                  <c:v>10.360000000000007</c:v>
                </c:pt>
              </c:numCache>
            </c:numRef>
          </c:val>
        </c:ser>
        <c:dLbls>
          <c:showVal val="1"/>
        </c:dLbls>
        <c:marker val="1"/>
        <c:axId val="125284736"/>
        <c:axId val="125286272"/>
      </c:lineChart>
      <c:catAx>
        <c:axId val="125284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86272"/>
        <c:crosses val="autoZero"/>
        <c:auto val="1"/>
        <c:lblAlgn val="ctr"/>
        <c:lblOffset val="100"/>
        <c:tickLblSkip val="1"/>
        <c:tickMarkSkip val="1"/>
      </c:catAx>
      <c:valAx>
        <c:axId val="125286272"/>
        <c:scaling>
          <c:orientation val="minMax"/>
          <c:max val="15"/>
          <c:min val="6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Показатель на 1000 чел.</a:t>
                </a:r>
              </a:p>
            </c:rich>
          </c:tx>
          <c:layout>
            <c:manualLayout>
              <c:xMode val="edge"/>
              <c:yMode val="edge"/>
              <c:x val="1.6286644951140062E-2"/>
              <c:y val="8.368200836820093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284736"/>
        <c:crosses val="autoZero"/>
        <c:crossBetween val="between"/>
        <c:majorUnit val="1"/>
        <c:minorUnit val="0.1"/>
      </c:valAx>
      <c:spPr>
        <a:solidFill>
          <a:srgbClr val="FFFF0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964169381107494"/>
          <c:y val="0.91213389121338961"/>
          <c:w val="0.51465798045602607"/>
          <c:h val="9.2050209205020966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00"/>
    </a:solidFill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959731543624206E-2"/>
          <c:y val="5.514705882352941E-2"/>
          <c:w val="0.88758389261744952"/>
          <c:h val="0.56985294117647067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случаи, связанные с транспорт. средствами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5603849821118278E-3"/>
                  <c:y val="0.1039350697558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6.1085371339015078E-3"/>
                  <c:y val="3.670824313418909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2.0010642400181185E-3"/>
                  <c:y val="2.620389715052839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6678578759953051E-3"/>
                  <c:y val="4.511154034406540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3.1197690925887302E-3"/>
                  <c:y val="3.67081308985313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6.195813419528377E-3"/>
                  <c:y val="4.353589405829909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9.5771462682388078E-3"/>
                  <c:y val="2.7254365419591715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0.15000000000000011</c:v>
                </c:pt>
                <c:pt idx="1">
                  <c:v>0.19000000000000003</c:v>
                </c:pt>
                <c:pt idx="2">
                  <c:v>0.1</c:v>
                </c:pt>
                <c:pt idx="3">
                  <c:v>0.15000000000000011</c:v>
                </c:pt>
                <c:pt idx="4">
                  <c:v>0.12000000000000002</c:v>
                </c:pt>
                <c:pt idx="5">
                  <c:v>0.14000000000000001</c:v>
                </c:pt>
                <c:pt idx="6">
                  <c:v>0.13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случайные отравления алкоголем</c:v>
                </c:pt>
              </c:strCache>
            </c:strRef>
          </c:tx>
          <c:spPr>
            <a:ln w="38099">
              <a:solidFill>
                <a:srgbClr val="3366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4.2382373311050867E-3"/>
                  <c:y val="2.620412162184361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4564912972827646E-2"/>
                  <c:y val="-5.730434587416241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9811016296894687E-2"/>
                  <c:y val="-4.890119648685963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121531780086772E-3"/>
                  <c:y val="-2.894304943734345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0303049699357646E-2"/>
                  <c:y val="-6.098081646239769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871300674431177E-3"/>
                  <c:y val="-5.6253877605099055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2724003309806208E-2"/>
                  <c:y val="-6.8333757638868314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0.2400000000000001</c:v>
                </c:pt>
                <c:pt idx="1">
                  <c:v>0.2</c:v>
                </c:pt>
                <c:pt idx="2">
                  <c:v>0.30000000000000021</c:v>
                </c:pt>
                <c:pt idx="3">
                  <c:v>0.17</c:v>
                </c:pt>
                <c:pt idx="4">
                  <c:v>0.2</c:v>
                </c:pt>
                <c:pt idx="5">
                  <c:v>0.23</c:v>
                </c:pt>
                <c:pt idx="6">
                  <c:v>0.2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самоубийства</c:v>
                </c:pt>
              </c:strCache>
            </c:strRef>
          </c:tx>
          <c:spPr>
            <a:ln w="38099">
              <a:solidFill>
                <a:srgbClr val="000000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5603849821118278E-3"/>
                  <c:y val="-4.417399757132989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819946529874655E-2"/>
                  <c:y val="-5.99306082515655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9811016296894669E-2"/>
                  <c:y val="5.088868741219619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343008290152542E-3"/>
                  <c:y val="-4.890093642862852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1980902048350959E-2"/>
                  <c:y val="4.563683059642582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5491530234247147E-3"/>
                  <c:y val="4.721247688219212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4334741564839859E-2"/>
                  <c:y val="3.460741883171988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0.26</c:v>
                </c:pt>
                <c:pt idx="1">
                  <c:v>0.30000000000000021</c:v>
                </c:pt>
                <c:pt idx="2">
                  <c:v>0.28000000000000008</c:v>
                </c:pt>
                <c:pt idx="3">
                  <c:v>0.23</c:v>
                </c:pt>
                <c:pt idx="4">
                  <c:v>0.2</c:v>
                </c:pt>
                <c:pt idx="5">
                  <c:v>0.2100000000000001</c:v>
                </c:pt>
                <c:pt idx="6">
                  <c:v>0.2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убийства</c:v>
                </c:pt>
              </c:strCache>
            </c:strRef>
          </c:tx>
          <c:spPr>
            <a:ln w="38099">
              <a:solidFill>
                <a:srgbClr val="993366"/>
              </a:solidFill>
              <a:prstDash val="solid"/>
            </a:ln>
          </c:spPr>
          <c:marker>
            <c:symbol val="x"/>
            <c:size val="4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4049003061274259E-3"/>
                  <c:y val="-5.310280950488187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5261241391273282E-4"/>
                  <c:y val="4.721262470476551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3227278495949476E-4"/>
                  <c:y val="3.828403724252843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2.2437715419800445E-3"/>
                  <c:y val="2.410333290629049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8.6756938125772398E-3"/>
                  <c:y val="1.885121603228894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6.7181810925371526E-3"/>
                  <c:y val="2.252768662052423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1878845232723445E-3"/>
                  <c:y val="2.9355449780291941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Sheet1!$B$5:$H$5</c:f>
              <c:numCache>
                <c:formatCode>General</c:formatCode>
                <c:ptCount val="7"/>
                <c:pt idx="0">
                  <c:v>0.11000000000000001</c:v>
                </c:pt>
                <c:pt idx="1">
                  <c:v>7.0000000000000021E-2</c:v>
                </c:pt>
                <c:pt idx="2">
                  <c:v>6.0000000000000032E-2</c:v>
                </c:pt>
                <c:pt idx="3">
                  <c:v>4.0000000000000022E-2</c:v>
                </c:pt>
                <c:pt idx="4">
                  <c:v>3.0000000000000016E-2</c:v>
                </c:pt>
                <c:pt idx="5">
                  <c:v>3.0000000000000016E-2</c:v>
                </c:pt>
                <c:pt idx="6">
                  <c:v>5.0000000000000024E-2</c:v>
                </c:pt>
              </c:numCache>
            </c:numRef>
          </c:val>
          <c:smooth val="1"/>
        </c:ser>
        <c:marker val="1"/>
        <c:axId val="123447168"/>
        <c:axId val="123448704"/>
      </c:lineChart>
      <c:catAx>
        <c:axId val="1234471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3448704"/>
        <c:crosses val="autoZero"/>
        <c:lblAlgn val="ctr"/>
        <c:lblOffset val="100"/>
        <c:tickLblSkip val="1"/>
        <c:tickMarkSkip val="1"/>
      </c:catAx>
      <c:valAx>
        <c:axId val="1234487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на 1000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0.183823529411764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3447168"/>
        <c:crosses val="autoZero"/>
        <c:crossBetween val="midCat"/>
      </c:valAx>
      <c:spPr>
        <a:gradFill rotWithShape="0">
          <a:gsLst>
            <a:gs pos="0">
              <a:srgbClr val="CCCCFF"/>
            </a:gs>
            <a:gs pos="100000">
              <a:srgbClr val="CCCCFF">
                <a:gamma/>
                <a:tint val="22353"/>
                <a:invGamma/>
              </a:srgbClr>
            </a:gs>
          </a:gsLst>
          <a:lin ang="5400000" scaled="1"/>
        </a:gradFill>
        <a:ln w="25400">
          <a:solidFill>
            <a:srgbClr val="CCCCFF"/>
          </a:solidFill>
          <a:prstDash val="solid"/>
        </a:ln>
      </c:spPr>
    </c:plotArea>
    <c:legend>
      <c:legendPos val="b"/>
      <c:spPr>
        <a:gradFill rotWithShape="0">
          <a:gsLst>
            <a:gs pos="0">
              <a:srgbClr val="CCCCFF"/>
            </a:gs>
            <a:gs pos="100000">
              <a:srgbClr val="CCCCFF">
                <a:gamma/>
                <a:tint val="33725"/>
                <a:invGamma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CCCCFF"/>
        </a:gs>
        <a:gs pos="100000">
          <a:srgbClr val="CCCCFF">
            <a:gamma/>
            <a:tint val="30980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4158415841584205E-2"/>
          <c:y val="8.4000000000000047E-2"/>
          <c:w val="0.91419141914191415"/>
          <c:h val="0.72000000000000042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5401">
              <a:solidFill>
                <a:srgbClr val="FF00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545923996224162E-2"/>
                  <c:y val="3.919079345851005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8347629476108475E-2"/>
                  <c:y val="-4.080920654148989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5647410072840781E-2"/>
                  <c:y val="-4.252372299616387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4396310272197105E-2"/>
                  <c:y val="2.31907934585100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014779093207402E-2"/>
                  <c:y val="-4.138057742782155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1.9094710933410551E-2"/>
                  <c:y val="-5.56664647688269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3.814669205953216E-2"/>
                  <c:y val="-6.8809206541490003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3.3496252324895025E-2"/>
                  <c:y val="3.4047647890167641E-2"/>
                </c:manualLayout>
              </c:layout>
              <c:dLblPos val="r"/>
              <c:showVal val="1"/>
            </c:dLbl>
            <c:dLbl>
              <c:idx val="14"/>
              <c:layout>
                <c:manualLayout>
                  <c:x val="-4.894784810314539E-2"/>
                  <c:y val="-4.8809206541490013E-2"/>
                </c:manualLayout>
              </c:layout>
              <c:dLblPos val="r"/>
              <c:showVal val="1"/>
            </c:dLbl>
            <c:dLbl>
              <c:idx val="16"/>
              <c:layout>
                <c:manualLayout>
                  <c:x val="-2.8095643085118291E-2"/>
                  <c:y val="3.1762164344841574E-2"/>
                </c:manualLayout>
              </c:layout>
              <c:dLblPos val="r"/>
              <c:showVal val="1"/>
            </c:dLbl>
            <c:dLbl>
              <c:idx val="17"/>
              <c:layout>
                <c:manualLayout>
                  <c:x val="-3.0045863416487843E-2"/>
                  <c:y val="-6.2523722996163933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2.2095093648847285E-2"/>
                  <c:y val="3.00476478901676E-2"/>
                </c:manualLayout>
              </c:layout>
              <c:dLblPos val="r"/>
              <c:showVal val="1"/>
            </c:dLbl>
            <c:dLbl>
              <c:idx val="19"/>
              <c:layout>
                <c:manualLayout>
                  <c:x val="-4.54974591947385E-2"/>
                  <c:y val="-4.4237835655158438E-2"/>
                </c:manualLayout>
              </c:layout>
              <c:dLblPos val="r"/>
              <c:showVal val="1"/>
            </c:dLbl>
            <c:dLbl>
              <c:idx val="20"/>
              <c:layout>
                <c:manualLayout>
                  <c:x val="-4.0847019460101254E-2"/>
                  <c:y val="-7.0523722996163912E-2"/>
                </c:manualLayout>
              </c:layout>
              <c:dLblPos val="r"/>
              <c:showVal val="1"/>
            </c:dLbl>
            <c:dLbl>
              <c:idx val="21"/>
              <c:layout>
                <c:manualLayout>
                  <c:x val="-1.3796258703485421E-2"/>
                  <c:y val="2.7762164344841567E-2"/>
                </c:manualLayout>
              </c:layout>
              <c:dLblPos val="r"/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Sheet1!$B$1:$W$1</c:f>
              <c:numCache>
                <c:formatCode>General</c:formatCode>
                <c:ptCount val="22"/>
                <c:pt idx="0">
                  <c:v>1987</c:v>
                </c:pt>
                <c:pt idx="2">
                  <c:v>1989</c:v>
                </c:pt>
                <c:pt idx="4">
                  <c:v>1991</c:v>
                </c:pt>
                <c:pt idx="6">
                  <c:v>1993</c:v>
                </c:pt>
                <c:pt idx="8">
                  <c:v>1995</c:v>
                </c:pt>
                <c:pt idx="10">
                  <c:v>1997</c:v>
                </c:pt>
                <c:pt idx="12">
                  <c:v>1999</c:v>
                </c:pt>
                <c:pt idx="14">
                  <c:v>2001</c:v>
                </c:pt>
                <c:pt idx="16">
                  <c:v>2003</c:v>
                </c:pt>
                <c:pt idx="18">
                  <c:v>2005</c:v>
                </c:pt>
                <c:pt idx="19">
                  <c:v>2006</c:v>
                </c:pt>
                <c:pt idx="20">
                  <c:v>2007</c:v>
                </c:pt>
                <c:pt idx="21">
                  <c:v>2008</c:v>
                </c:pt>
              </c:numCache>
            </c:numRef>
          </c:cat>
          <c:val>
            <c:numRef>
              <c:f>Sheet1!$B$2:$W$2</c:f>
              <c:numCache>
                <c:formatCode>General</c:formatCode>
                <c:ptCount val="22"/>
                <c:pt idx="0">
                  <c:v>0.05</c:v>
                </c:pt>
                <c:pt idx="1">
                  <c:v>0.05</c:v>
                </c:pt>
                <c:pt idx="2">
                  <c:v>8.0000000000000043E-2</c:v>
                </c:pt>
                <c:pt idx="3">
                  <c:v>0.16</c:v>
                </c:pt>
                <c:pt idx="4">
                  <c:v>0.12000000000000002</c:v>
                </c:pt>
                <c:pt idx="5">
                  <c:v>0.14000000000000001</c:v>
                </c:pt>
                <c:pt idx="6">
                  <c:v>0.22</c:v>
                </c:pt>
                <c:pt idx="7">
                  <c:v>0.25</c:v>
                </c:pt>
                <c:pt idx="8">
                  <c:v>0.2100000000000001</c:v>
                </c:pt>
                <c:pt idx="9">
                  <c:v>0.1800000000000001</c:v>
                </c:pt>
                <c:pt idx="10">
                  <c:v>0.23</c:v>
                </c:pt>
                <c:pt idx="11">
                  <c:v>0.26</c:v>
                </c:pt>
                <c:pt idx="12">
                  <c:v>0.2400000000000001</c:v>
                </c:pt>
                <c:pt idx="13">
                  <c:v>0.22</c:v>
                </c:pt>
                <c:pt idx="14">
                  <c:v>0.26</c:v>
                </c:pt>
                <c:pt idx="15">
                  <c:v>0.2400000000000001</c:v>
                </c:pt>
                <c:pt idx="16">
                  <c:v>0.2</c:v>
                </c:pt>
                <c:pt idx="17">
                  <c:v>0.30000000000000021</c:v>
                </c:pt>
                <c:pt idx="18" formatCode="0.00">
                  <c:v>0.17</c:v>
                </c:pt>
                <c:pt idx="19">
                  <c:v>0.2</c:v>
                </c:pt>
                <c:pt idx="20">
                  <c:v>0.23</c:v>
                </c:pt>
                <c:pt idx="21">
                  <c:v>0.2</c:v>
                </c:pt>
              </c:numCache>
            </c:numRef>
          </c:val>
        </c:ser>
        <c:dLbls>
          <c:showVal val="1"/>
        </c:dLbls>
        <c:marker val="1"/>
        <c:axId val="123007360"/>
        <c:axId val="123008896"/>
      </c:lineChart>
      <c:catAx>
        <c:axId val="1230073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402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08896"/>
        <c:crosses val="autoZero"/>
        <c:auto val="1"/>
        <c:lblAlgn val="ctr"/>
        <c:lblOffset val="100"/>
        <c:tickLblSkip val="1"/>
        <c:tickMarkSkip val="1"/>
      </c:catAx>
      <c:valAx>
        <c:axId val="123008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смертность на 1000 чел.</a:t>
                </a:r>
              </a:p>
            </c:rich>
          </c:tx>
          <c:layout>
            <c:manualLayout>
              <c:xMode val="edge"/>
              <c:yMode val="edge"/>
              <c:x val="0"/>
              <c:y val="0.1800000000000001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07360"/>
        <c:crosses val="autoZero"/>
        <c:crossBetween val="between"/>
      </c:valAx>
      <c:spPr>
        <a:solidFill>
          <a:srgbClr val="FFFFCC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1584158415841582"/>
          <c:y val="0.94799999999999995"/>
          <c:w val="0.16501650165016504"/>
          <c:h val="5.6000000000000001E-2"/>
        </c:manualLayout>
      </c:layout>
      <c:spPr>
        <a:noFill/>
        <a:ln w="25401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CC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0"/>
      <c:hPercent val="34"/>
      <c:rotY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CCFFFF">
                <a:gamma/>
                <a:tint val="83922"/>
                <a:invGamma/>
              </a:srgbClr>
            </a:gs>
            <a:gs pos="100000">
              <a:srgbClr val="CCFFFF"/>
            </a:gs>
          </a:gsLst>
          <a:lin ang="18900000" scaled="1"/>
        </a:gradFill>
        <a:ln w="25400">
          <a:noFill/>
        </a:ln>
      </c:spPr>
    </c:sideWall>
    <c:backWall>
      <c:spPr>
        <a:gradFill rotWithShape="0">
          <a:gsLst>
            <a:gs pos="0">
              <a:srgbClr val="CCFFFF">
                <a:gamma/>
                <a:tint val="83922"/>
                <a:invGamma/>
              </a:srgbClr>
            </a:gs>
            <a:gs pos="100000">
              <a:srgbClr val="CCFFFF"/>
            </a:gs>
          </a:gsLst>
          <a:lin ang="18900000" scaled="1"/>
        </a:gra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2312925170068035E-2"/>
          <c:y val="2.8985507246376812E-2"/>
          <c:w val="0.96088435374149661"/>
          <c:h val="0.85507246376811641"/>
        </c:manualLayout>
      </c:layout>
      <c:area3D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 на 1000 родившихся</c:v>
                </c:pt>
              </c:strCache>
            </c:strRef>
          </c:tx>
          <c:spPr>
            <a:gradFill rotWithShape="0">
              <a:gsLst>
                <a:gs pos="0">
                  <a:srgbClr val="FF99CC">
                    <a:gamma/>
                    <a:shade val="76078"/>
                    <a:invGamma/>
                  </a:srgbClr>
                </a:gs>
                <a:gs pos="100000">
                  <a:srgbClr val="FF99CC"/>
                </a:gs>
              </a:gsLst>
              <a:lin ang="5400000" scaled="1"/>
            </a:gradFill>
            <a:ln w="25371">
              <a:noFill/>
            </a:ln>
          </c:spPr>
          <c:dLbls>
            <c:dLbl>
              <c:idx val="0"/>
              <c:layout>
                <c:manualLayout>
                  <c:x val="9.5037039385843722E-3"/>
                  <c:y val="-0.27522792315157585"/>
                </c:manualLayout>
              </c:layout>
              <c:showVal val="1"/>
            </c:dLbl>
            <c:dLbl>
              <c:idx val="1"/>
              <c:layout>
                <c:manualLayout>
                  <c:x val="2.8334702906522791E-2"/>
                  <c:y val="-0.21087862091409718"/>
                </c:manualLayout>
              </c:layout>
              <c:showVal val="1"/>
            </c:dLbl>
            <c:dLbl>
              <c:idx val="2"/>
              <c:layout>
                <c:manualLayout>
                  <c:x val="2.3062998037810988E-2"/>
                  <c:y val="-0.20047897433841722"/>
                </c:manualLayout>
              </c:layout>
              <c:showVal val="1"/>
            </c:dLbl>
            <c:dLbl>
              <c:idx val="3"/>
              <c:layout>
                <c:manualLayout>
                  <c:x val="2.6441284543206704E-2"/>
                  <c:y val="-0.20438177076259934"/>
                </c:manualLayout>
              </c:layout>
              <c:showVal val="1"/>
            </c:dLbl>
            <c:dLbl>
              <c:idx val="4"/>
              <c:layout>
                <c:manualLayout>
                  <c:x val="3.1667016897613108E-2"/>
                  <c:y val="-0.15807131339802349"/>
                </c:manualLayout>
              </c:layout>
              <c:showVal val="1"/>
            </c:dLbl>
            <c:dLbl>
              <c:idx val="5"/>
              <c:layout>
                <c:manualLayout>
                  <c:x val="2.6541902042464476E-2"/>
                  <c:y val="-0.16161740464773774"/>
                </c:manualLayout>
              </c:layout>
              <c:showVal val="1"/>
            </c:dLbl>
            <c:dLbl>
              <c:idx val="6"/>
              <c:layout>
                <c:manualLayout>
                  <c:x val="3.1620868819969068E-2"/>
                  <c:y val="-0.17127924039652995"/>
                </c:manualLayout>
              </c:layout>
              <c:showVal val="1"/>
            </c:dLbl>
            <c:dLbl>
              <c:idx val="7"/>
              <c:layout>
                <c:manualLayout>
                  <c:x val="4.0101196141691012E-2"/>
                  <c:y val="-0.12349316137817848"/>
                </c:manualLayout>
              </c:layout>
              <c:showVal val="1"/>
            </c:dLbl>
            <c:dLbl>
              <c:idx val="8"/>
              <c:layout>
                <c:manualLayout>
                  <c:x val="3.667676155865135E-2"/>
                  <c:y val="-0.1108566506554179"/>
                </c:manualLayout>
              </c:layout>
              <c:showVal val="1"/>
            </c:dLbl>
            <c:dLbl>
              <c:idx val="9"/>
              <c:layout>
                <c:manualLayout>
                  <c:x val="4.8558624987930198E-2"/>
                  <c:y val="-0.12630144180100472"/>
                </c:manualLayout>
              </c:layout>
              <c:showVal val="1"/>
            </c:dLbl>
            <c:dLbl>
              <c:idx val="10"/>
              <c:layout>
                <c:manualLayout>
                  <c:x val="5.1936911493325799E-2"/>
                  <c:y val="-0.12480238848081211"/>
                </c:manualLayout>
              </c:layout>
              <c:showVal val="1"/>
            </c:dLbl>
            <c:dLbl>
              <c:idx val="11"/>
              <c:layout>
                <c:manualLayout>
                  <c:x val="5.346792771304916E-2"/>
                  <c:y val="-0.10037404900705063"/>
                </c:manualLayout>
              </c:layout>
              <c:showVal val="1"/>
            </c:dLbl>
            <c:dLbl>
              <c:idx val="12"/>
              <c:layout>
                <c:manualLayout>
                  <c:x val="4.5088042327246183E-2"/>
                  <c:y val="-7.9634279261960705E-2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1980</c:v>
                </c:pt>
                <c:pt idx="1">
                  <c:v>1990</c:v>
                </c:pt>
                <c:pt idx="2">
                  <c:v>1995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16.2</c:v>
                </c:pt>
                <c:pt idx="1">
                  <c:v>9.6</c:v>
                </c:pt>
                <c:pt idx="2">
                  <c:v>10.200000000000001</c:v>
                </c:pt>
                <c:pt idx="3">
                  <c:v>10.3</c:v>
                </c:pt>
                <c:pt idx="4">
                  <c:v>5.4</c:v>
                </c:pt>
                <c:pt idx="5">
                  <c:v>7.1</c:v>
                </c:pt>
                <c:pt idx="6">
                  <c:v>7.1</c:v>
                </c:pt>
                <c:pt idx="7">
                  <c:v>3.4</c:v>
                </c:pt>
                <c:pt idx="8">
                  <c:v>3.2</c:v>
                </c:pt>
                <c:pt idx="9">
                  <c:v>5.7</c:v>
                </c:pt>
                <c:pt idx="10">
                  <c:v>4.3</c:v>
                </c:pt>
                <c:pt idx="11">
                  <c:v>4.8499999999999996</c:v>
                </c:pt>
                <c:pt idx="12">
                  <c:v>2.4</c:v>
                </c:pt>
              </c:numCache>
            </c:numRef>
          </c:val>
        </c:ser>
        <c:gapDepth val="0"/>
        <c:axId val="108714240"/>
        <c:axId val="108716032"/>
        <c:axId val="94299456"/>
      </c:area3DChart>
      <c:catAx>
        <c:axId val="10871424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716032"/>
        <c:crosses val="autoZero"/>
        <c:auto val="1"/>
        <c:lblAlgn val="ctr"/>
        <c:lblOffset val="100"/>
        <c:tickLblSkip val="1"/>
        <c:tickMarkSkip val="1"/>
      </c:catAx>
      <c:valAx>
        <c:axId val="108716032"/>
        <c:scaling>
          <c:orientation val="minMax"/>
        </c:scaling>
        <c:axPos val="l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714240"/>
        <c:crosses val="autoZero"/>
        <c:crossBetween val="midCat"/>
      </c:valAx>
      <c:serAx>
        <c:axId val="94299456"/>
        <c:scaling>
          <c:orientation val="minMax"/>
        </c:scaling>
        <c:delete val="1"/>
        <c:axPos val="b"/>
        <c:tickLblPos val="nextTo"/>
        <c:crossAx val="108716032"/>
        <c:crosses val="autoZero"/>
      </c:serAx>
      <c:spPr>
        <a:gradFill rotWithShape="0">
          <a:gsLst>
            <a:gs pos="0">
              <a:srgbClr val="CCFFFF">
                <a:gamma/>
                <a:tint val="93725"/>
                <a:invGamma/>
              </a:srgbClr>
            </a:gs>
            <a:gs pos="100000">
              <a:srgbClr val="CCFFFF"/>
            </a:gs>
          </a:gsLst>
          <a:lin ang="18900000" scaled="1"/>
        </a:gradFill>
        <a:ln w="25371">
          <a:noFill/>
        </a:ln>
      </c:spPr>
    </c:plotArea>
    <c:legend>
      <c:legendPos val="r"/>
      <c:layout>
        <c:manualLayout>
          <c:xMode val="edge"/>
          <c:yMode val="edge"/>
          <c:x val="0.66496598639455851"/>
          <c:y val="2.8985507246376812E-2"/>
          <c:w val="0.33503401360544255"/>
          <c:h val="0.10628019323671505"/>
        </c:manualLayout>
      </c:layout>
      <c:spPr>
        <a:gradFill rotWithShape="0">
          <a:gsLst>
            <a:gs pos="0">
              <a:srgbClr val="CCFFFF">
                <a:gamma/>
                <a:tint val="73725"/>
                <a:invGamma/>
              </a:srgbClr>
            </a:gs>
            <a:gs pos="100000">
              <a:srgbClr val="CCFFFF"/>
            </a:gs>
          </a:gsLst>
          <a:lin ang="18900000" scaled="1"/>
        </a:gradFill>
        <a:ln w="3171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CCFFFF"/>
    </a:solidFill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25400">
          <a:noFill/>
        </a:ln>
      </c:spPr>
    </c:sideWall>
    <c:backWall>
      <c:spPr>
        <a:solidFill>
          <a:srgbClr val="CC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788617886178919E-2"/>
          <c:y val="7.7272727272727312E-2"/>
          <c:w val="0.78699186991869963"/>
          <c:h val="0.713636363636363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коэффициент фертильности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808317009154342E-2"/>
                  <c:y val="-1.4047264842882771E-2"/>
                </c:manualLayout>
              </c:layout>
              <c:showVal val="1"/>
            </c:dLbl>
            <c:dLbl>
              <c:idx val="1"/>
              <c:layout>
                <c:manualLayout>
                  <c:x val="1.0241388899558347E-2"/>
                  <c:y val="-1.5820173664062753E-2"/>
                </c:manualLayout>
              </c:layout>
              <c:showVal val="1"/>
            </c:dLbl>
            <c:dLbl>
              <c:idx val="2"/>
              <c:layout>
                <c:manualLayout>
                  <c:x val="1.255250957045006E-2"/>
                  <c:y val="-2.5548058468975957E-2"/>
                </c:manualLayout>
              </c:layout>
              <c:showVal val="1"/>
            </c:dLbl>
            <c:dLbl>
              <c:idx val="3"/>
              <c:layout>
                <c:manualLayout>
                  <c:x val="9.9855814608540358E-3"/>
                  <c:y val="-1.8775139273598685E-2"/>
                </c:manualLayout>
              </c:layout>
              <c:showVal val="1"/>
            </c:dLbl>
            <c:dLbl>
              <c:idx val="4"/>
              <c:layout>
                <c:manualLayout>
                  <c:x val="1.2296702131745696E-2"/>
                  <c:y val="-2.6639133547041813E-2"/>
                </c:manualLayout>
              </c:layout>
              <c:showVal val="1"/>
            </c:dLbl>
            <c:dLbl>
              <c:idx val="5"/>
              <c:layout>
                <c:manualLayout>
                  <c:x val="9.729606043147215E-3"/>
                  <c:y val="-2.6639133547041813E-2"/>
                </c:manualLayout>
              </c:layout>
              <c:showVal val="1"/>
            </c:dLbl>
            <c:dLbl>
              <c:idx val="6"/>
              <c:layout>
                <c:manualLayout>
                  <c:x val="3.9106454132259317E-3"/>
                  <c:y val="-2.3456433558453432E-2"/>
                </c:manualLayout>
              </c:layout>
              <c:showVal val="1"/>
            </c:dLbl>
            <c:dLbl>
              <c:idx val="7"/>
              <c:layout>
                <c:manualLayout>
                  <c:x val="6.2217660841177146E-3"/>
                  <c:y val="-1.8955837042108861E-2"/>
                </c:manualLayout>
              </c:layout>
              <c:showVal val="1"/>
            </c:dLbl>
            <c:dLbl>
              <c:idx val="8"/>
              <c:layout>
                <c:manualLayout>
                  <c:x val="3.6548379745213471E-3"/>
                  <c:y val="-2.9955494693598071E-2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32.4</c:v>
                </c:pt>
                <c:pt idx="1">
                  <c:v>32.300000000000004</c:v>
                </c:pt>
                <c:pt idx="2">
                  <c:v>29.7</c:v>
                </c:pt>
                <c:pt idx="3">
                  <c:v>28.8</c:v>
                </c:pt>
                <c:pt idx="4">
                  <c:v>28.1</c:v>
                </c:pt>
                <c:pt idx="5">
                  <c:v>28.1</c:v>
                </c:pt>
                <c:pt idx="6">
                  <c:v>31.1</c:v>
                </c:pt>
                <c:pt idx="7">
                  <c:v>35.200000000000003</c:v>
                </c:pt>
                <c:pt idx="8">
                  <c:v>37.4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коэффициент рождаемости</c:v>
                </c:pt>
              </c:strCache>
            </c:strRef>
          </c:tx>
          <c:spPr>
            <a:pattFill prst="dkHorz">
              <a:fgClr>
                <a:srgbClr val="FFCC99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871928301645261E-2"/>
                  <c:y val="-1.7460686979344938E-2"/>
                </c:manualLayout>
              </c:layout>
              <c:showVal val="1"/>
            </c:dLbl>
            <c:dLbl>
              <c:idx val="1"/>
              <c:layout>
                <c:manualLayout>
                  <c:x val="1.4052967671723952E-2"/>
                  <c:y val="-1.6461050076250244E-2"/>
                </c:manualLayout>
              </c:layout>
              <c:showVal val="1"/>
            </c:dLbl>
            <c:dLbl>
              <c:idx val="2"/>
              <c:layout>
                <c:manualLayout>
                  <c:x val="1.7989936623775678E-2"/>
                  <c:y val="-1.1688317616424283E-2"/>
                </c:manualLayout>
              </c:layout>
              <c:showVal val="1"/>
            </c:dLbl>
            <c:dLbl>
              <c:idx val="3"/>
              <c:layout>
                <c:manualLayout>
                  <c:x val="1.2170975993854515E-2"/>
                  <c:y val="-1.2461133069828717E-2"/>
                </c:manualLayout>
              </c:layout>
              <c:showVal val="1"/>
            </c:dLbl>
            <c:dLbl>
              <c:idx val="4"/>
              <c:layout>
                <c:manualLayout>
                  <c:x val="1.123006414442094E-2"/>
                  <c:y val="-8.6884939777784071E-3"/>
                </c:manualLayout>
              </c:layout>
              <c:showVal val="1"/>
            </c:dLbl>
            <c:dLbl>
              <c:idx val="5"/>
              <c:layout>
                <c:manualLayout>
                  <c:x val="1.6793217335638183E-2"/>
                  <c:y val="-1.7779403068687558E-2"/>
                </c:manualLayout>
              </c:layout>
              <c:showVal val="1"/>
            </c:dLbl>
            <c:dLbl>
              <c:idx val="6"/>
              <c:layout>
                <c:manualLayout>
                  <c:x val="1.2600272965879362E-2"/>
                  <c:y val="-1.0915502163020183E-2"/>
                </c:manualLayout>
              </c:layout>
              <c:showVal val="1"/>
            </c:dLbl>
            <c:dLbl>
              <c:idx val="7"/>
              <c:layout>
                <c:manualLayout>
                  <c:x val="2.1152694449779252E-2"/>
                  <c:y val="3.5074331123628021E-3"/>
                </c:manualLayout>
              </c:layout>
              <c:showVal val="1"/>
            </c:dLbl>
            <c:dLbl>
              <c:idx val="8"/>
              <c:layout>
                <c:manualLayout>
                  <c:x val="2.9967880161321514E-2"/>
                  <c:y val="-3.3260589461890422E-2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9.9</c:v>
                </c:pt>
                <c:pt idx="1">
                  <c:v>9.7000000000000011</c:v>
                </c:pt>
                <c:pt idx="2">
                  <c:v>9.2000000000000011</c:v>
                </c:pt>
                <c:pt idx="3">
                  <c:v>8.9</c:v>
                </c:pt>
                <c:pt idx="4">
                  <c:v>8.6</c:v>
                </c:pt>
                <c:pt idx="5">
                  <c:v>8.6</c:v>
                </c:pt>
                <c:pt idx="6">
                  <c:v>9.5</c:v>
                </c:pt>
                <c:pt idx="7">
                  <c:v>10.57</c:v>
                </c:pt>
                <c:pt idx="8">
                  <c:v>11.06</c:v>
                </c:pt>
              </c:numCache>
            </c:numRef>
          </c:val>
          <c:shape val="cylinder"/>
        </c:ser>
        <c:gapDepth val="0"/>
        <c:shape val="box"/>
        <c:axId val="125827328"/>
        <c:axId val="125456384"/>
        <c:axId val="0"/>
      </c:bar3DChart>
      <c:catAx>
        <c:axId val="125827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456384"/>
        <c:crosses val="autoZero"/>
        <c:auto val="1"/>
        <c:lblAlgn val="ctr"/>
        <c:lblOffset val="100"/>
        <c:tickLblSkip val="1"/>
        <c:tickMarkSkip val="1"/>
      </c:catAx>
      <c:valAx>
        <c:axId val="125456384"/>
        <c:scaling>
          <c:orientation val="minMax"/>
          <c:max val="38"/>
          <c:min val="0"/>
        </c:scaling>
        <c:axPos val="l"/>
        <c:title>
          <c:tx>
            <c:rich>
              <a:bodyPr/>
              <a:lstStyle/>
              <a:p>
                <a:pPr>
                  <a:defRPr sz="6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показатель на 1000чел</a:t>
                </a:r>
              </a:p>
            </c:rich>
          </c:tx>
          <c:layout>
            <c:manualLayout>
              <c:xMode val="edge"/>
              <c:yMode val="edge"/>
              <c:x val="6.8292682926829357E-2"/>
              <c:y val="0.20909090909090919"/>
            </c:manualLayout>
          </c:layout>
          <c:spPr>
            <a:noFill/>
            <a:ln w="25401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827328"/>
        <c:crosses val="autoZero"/>
        <c:crossBetween val="between"/>
      </c:valAx>
      <c:spPr>
        <a:solidFill>
          <a:srgbClr val="CCFFFF"/>
        </a:solidFill>
        <a:ln w="25401">
          <a:noFill/>
        </a:ln>
      </c:spPr>
    </c:plotArea>
    <c:legend>
      <c:legendPos val="r"/>
      <c:layout>
        <c:manualLayout>
          <c:xMode val="edge"/>
          <c:yMode val="edge"/>
          <c:x val="0.84552845528455334"/>
          <c:y val="0.39090909090909137"/>
          <c:w val="0.14796747967479687"/>
          <c:h val="0.30000000000000021"/>
        </c:manualLayout>
      </c:layout>
      <c:spPr>
        <a:solidFill>
          <a:srgbClr val="CC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CC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356435643564414E-2"/>
          <c:y val="4.8780487804878127E-2"/>
          <c:w val="0.83003300330033003"/>
          <c:h val="0.81951219512195006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30.7</c:v>
                </c:pt>
                <c:pt idx="1">
                  <c:v>30.1</c:v>
                </c:pt>
                <c:pt idx="2">
                  <c:v>30.8</c:v>
                </c:pt>
                <c:pt idx="3">
                  <c:v>30.8</c:v>
                </c:pt>
                <c:pt idx="4">
                  <c:v>30.9</c:v>
                </c:pt>
                <c:pt idx="5">
                  <c:v>30.8</c:v>
                </c:pt>
                <c:pt idx="6">
                  <c:v>30.6</c:v>
                </c:pt>
                <c:pt idx="7">
                  <c:v>30</c:v>
                </c:pt>
                <c:pt idx="8">
                  <c:v>29.5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28.1</c:v>
                </c:pt>
                <c:pt idx="1">
                  <c:v>28.2</c:v>
                </c:pt>
                <c:pt idx="2">
                  <c:v>28.2</c:v>
                </c:pt>
                <c:pt idx="3">
                  <c:v>28.3</c:v>
                </c:pt>
                <c:pt idx="4">
                  <c:v>28.3</c:v>
                </c:pt>
                <c:pt idx="5">
                  <c:v>28.2</c:v>
                </c:pt>
                <c:pt idx="6">
                  <c:v>28.2</c:v>
                </c:pt>
                <c:pt idx="7">
                  <c:v>27.6</c:v>
                </c:pt>
                <c:pt idx="8">
                  <c:v>27.3</c:v>
                </c:pt>
              </c:numCache>
            </c:numRef>
          </c:val>
        </c:ser>
        <c:overlap val="100"/>
        <c:axId val="125764736"/>
        <c:axId val="125766272"/>
      </c:barChart>
      <c:catAx>
        <c:axId val="125764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766272"/>
        <c:crosses val="autoZero"/>
        <c:auto val="1"/>
        <c:lblAlgn val="ctr"/>
        <c:lblOffset val="100"/>
        <c:tickLblSkip val="1"/>
        <c:tickMarkSkip val="1"/>
      </c:catAx>
      <c:valAx>
        <c:axId val="125766272"/>
        <c:scaling>
          <c:orientation val="minMax"/>
          <c:max val="65"/>
          <c:min val="0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0"/>
              <c:y val="0.32682926829268361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764736"/>
        <c:crosses val="autoZero"/>
        <c:crossBetween val="between"/>
      </c:valAx>
      <c:spPr>
        <a:solidFill>
          <a:srgbClr val="FFFFCC"/>
        </a:solidFill>
        <a:ln w="25399">
          <a:noFill/>
        </a:ln>
      </c:spPr>
    </c:plotArea>
    <c:legend>
      <c:legendPos val="r"/>
      <c:layout>
        <c:manualLayout>
          <c:xMode val="edge"/>
          <c:yMode val="edge"/>
          <c:x val="0.8910891089108911"/>
          <c:y val="0.41951219512195154"/>
          <c:w val="0.10891089108910891"/>
          <c:h val="0.1902439024390245"/>
        </c:manualLayout>
      </c:layout>
      <c:spPr>
        <a:noFill/>
        <a:ln w="25399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CC"/>
    </a:solidFill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6185737976782759E-2"/>
          <c:y val="8.1081081081081086E-2"/>
          <c:w val="0.86733001658374875"/>
          <c:h val="0.67953667953667962"/>
        </c:manualLayout>
      </c:layout>
      <c:area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Браки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681654603503042E-2"/>
                  <c:y val="-0.23489874325339596"/>
                </c:manualLayout>
              </c:layout>
              <c:showVal val="1"/>
            </c:dLbl>
            <c:dLbl>
              <c:idx val="1"/>
              <c:layout>
                <c:manualLayout>
                  <c:x val="-2.3985266067105845E-4"/>
                  <c:y val="-0.25857977337882526"/>
                </c:manualLayout>
              </c:layout>
              <c:showVal val="1"/>
            </c:dLbl>
            <c:dLbl>
              <c:idx val="2"/>
              <c:layout>
                <c:manualLayout>
                  <c:x val="-1.0811902389632991E-2"/>
                  <c:y val="-0.26424242985903262"/>
                </c:manualLayout>
              </c:layout>
              <c:showVal val="1"/>
            </c:dLbl>
            <c:dLbl>
              <c:idx val="3"/>
              <c:layout>
                <c:manualLayout>
                  <c:x val="5.1498732973199648E-3"/>
                  <c:y val="-0.24107640669300948"/>
                </c:manualLayout>
              </c:layout>
              <c:showVal val="1"/>
            </c:dLbl>
            <c:dLbl>
              <c:idx val="4"/>
              <c:layout>
                <c:manualLayout>
                  <c:x val="1.2113227391703817E-3"/>
                  <c:y val="-0.21121810341375374"/>
                </c:manualLayout>
              </c:layout>
              <c:showVal val="1"/>
            </c:dLbl>
            <c:dLbl>
              <c:idx val="5"/>
              <c:layout>
                <c:manualLayout>
                  <c:x val="1.0539599255310988E-2"/>
                  <c:y val="-0.27119226543984343"/>
                </c:manualLayout>
              </c:layout>
              <c:showVal val="1"/>
            </c:dLbl>
            <c:dLbl>
              <c:idx val="6"/>
              <c:layout>
                <c:manualLayout>
                  <c:x val="-1.1641074022573349E-2"/>
                  <c:y val="-0.27942928012125695"/>
                </c:manualLayout>
              </c:layout>
              <c:showVal val="1"/>
            </c:dLbl>
            <c:dLbl>
              <c:idx val="7"/>
              <c:layout>
                <c:manualLayout>
                  <c:x val="1.2476952348037827E-2"/>
                  <c:y val="-0.32009842284232726"/>
                </c:manualLayout>
              </c:layout>
              <c:showVal val="1"/>
            </c:dLbl>
            <c:dLbl>
              <c:idx val="8"/>
              <c:layout>
                <c:manualLayout>
                  <c:x val="-1.1226472442691589E-2"/>
                  <c:y val="-0.2997637799042829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7</c:v>
                </c:pt>
                <c:pt idx="1">
                  <c:v>7.8</c:v>
                </c:pt>
                <c:pt idx="2">
                  <c:v>7.6</c:v>
                </c:pt>
                <c:pt idx="3">
                  <c:v>7.6</c:v>
                </c:pt>
                <c:pt idx="4">
                  <c:v>6.2</c:v>
                </c:pt>
                <c:pt idx="5">
                  <c:v>7.9</c:v>
                </c:pt>
                <c:pt idx="6">
                  <c:v>8.7000000000000011</c:v>
                </c:pt>
                <c:pt idx="7">
                  <c:v>10.4</c:v>
                </c:pt>
                <c:pt idx="8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Разводы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257741469954759E-2"/>
                  <c:y val="-0.17595406170531314"/>
                </c:manualLayout>
              </c:layout>
              <c:showVal val="1"/>
            </c:dLbl>
            <c:dLbl>
              <c:idx val="1"/>
              <c:layout>
                <c:manualLayout>
                  <c:x val="7.4261831926118755E-3"/>
                  <c:y val="-0.16797474564649584"/>
                </c:manualLayout>
              </c:layout>
              <c:showVal val="1"/>
            </c:dLbl>
            <c:dLbl>
              <c:idx val="2"/>
              <c:layout>
                <c:manualLayout>
                  <c:x val="-4.178403218820472E-3"/>
                  <c:y val="-0.16462860558987952"/>
                </c:manualLayout>
              </c:layout>
              <c:showVal val="1"/>
            </c:dLbl>
            <c:dLbl>
              <c:idx val="3"/>
              <c:layout>
                <c:manualLayout>
                  <c:x val="1.8331237119135094E-3"/>
                  <c:y val="-0.14197744622824376"/>
                </c:manualLayout>
              </c:layout>
              <c:showVal val="1"/>
            </c:dLbl>
            <c:dLbl>
              <c:idx val="4"/>
              <c:layout>
                <c:manualLayout>
                  <c:x val="-4.470520535323182E-4"/>
                  <c:y val="-0.12627612244741881"/>
                </c:manualLayout>
              </c:layout>
              <c:showVal val="1"/>
            </c:dLbl>
            <c:dLbl>
              <c:idx val="5"/>
              <c:layout>
                <c:manualLayout>
                  <c:x val="3.9061000844984092E-3"/>
                  <c:y val="-0.11778194258421407"/>
                </c:manualLayout>
              </c:layout>
              <c:showVal val="1"/>
            </c:dLbl>
            <c:dLbl>
              <c:idx val="6"/>
              <c:layout>
                <c:manualLayout>
                  <c:x val="-8.3243244371667222E-3"/>
                  <c:y val="-0.14403640718425714"/>
                </c:manualLayout>
              </c:layout>
              <c:showVal val="1"/>
            </c:dLbl>
            <c:dLbl>
              <c:idx val="7"/>
              <c:layout>
                <c:manualLayout>
                  <c:x val="1.0039520789736573E-3"/>
                  <c:y val="-0.16282695297067568"/>
                </c:manualLayout>
              </c:layout>
              <c:showVal val="1"/>
            </c:dLbl>
            <c:dLbl>
              <c:idx val="8"/>
              <c:layout>
                <c:manualLayout>
                  <c:x val="-1.1226472442691589E-2"/>
                  <c:y val="-0.1530455940068680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5.4</c:v>
                </c:pt>
                <c:pt idx="1">
                  <c:v>5</c:v>
                </c:pt>
                <c:pt idx="2">
                  <c:v>4.3</c:v>
                </c:pt>
                <c:pt idx="3">
                  <c:v>3.6</c:v>
                </c:pt>
                <c:pt idx="4">
                  <c:v>3.2</c:v>
                </c:pt>
                <c:pt idx="5">
                  <c:v>3.5</c:v>
                </c:pt>
                <c:pt idx="6">
                  <c:v>3.8</c:v>
                </c:pt>
                <c:pt idx="7">
                  <c:v>4.5</c:v>
                </c:pt>
                <c:pt idx="8">
                  <c:v>4.3</c:v>
                </c:pt>
              </c:numCache>
            </c:numRef>
          </c:val>
        </c:ser>
        <c:dLbls>
          <c:showVal val="1"/>
        </c:dLbls>
        <c:axId val="125652992"/>
        <c:axId val="125654528"/>
      </c:areaChart>
      <c:catAx>
        <c:axId val="1256529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654528"/>
        <c:crosses val="autoZero"/>
        <c:auto val="1"/>
        <c:lblAlgn val="ctr"/>
        <c:lblOffset val="100"/>
        <c:tickLblSkip val="1"/>
        <c:tickMarkSkip val="1"/>
      </c:catAx>
      <c:valAx>
        <c:axId val="1256545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на 1000 населения</a:t>
                </a:r>
              </a:p>
            </c:rich>
          </c:tx>
          <c:layout>
            <c:manualLayout>
              <c:xMode val="edge"/>
              <c:yMode val="edge"/>
              <c:x val="2.4875621890547265E-2"/>
              <c:y val="0.2162162162162163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5652992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006633499170833"/>
          <c:y val="0.90347490347490345"/>
          <c:w val="0.47263681592039802"/>
          <c:h val="8.494208494208495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path path="rect">
        <a:fillToRect l="50000" t="50000" r="50000" b="50000"/>
      </a:path>
    </a:gradFill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0032573289902339E-2"/>
          <c:y val="4.0816326530612311E-2"/>
          <c:w val="0.92996742671009769"/>
          <c:h val="0.8489795918367346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0 - 14 лет</c:v>
                </c:pt>
              </c:strCache>
            </c:strRef>
          </c:tx>
          <c:spPr>
            <a:ln w="38099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3366FF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dLbls>
            <c:dLbl>
              <c:idx val="0"/>
              <c:layout>
                <c:manualLayout>
                  <c:x val="-2.2794817957201598E-2"/>
                  <c:y val="-3.198696801555268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5722290902562188E-3"/>
                  <c:y val="-3.672153585843785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936141646788863E-3"/>
                  <c:y val="-3.920296517557156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7.7296572195576342E-3"/>
                  <c:y val="-4.256630106110688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3638431352427197E-4"/>
                  <c:y val="-7.717857956831022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1.4864338830611671E-3"/>
                  <c:y val="-7.649275773301447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8723128403737598E-2"/>
                  <c:y val="-7.646028280078437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1.478718448793246E-2"/>
                  <c:y val="-7.574198603325832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1.0851240572126978E-2"/>
                  <c:y val="-8.387236469390921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3429954636778006E-2"/>
                  <c:y val="-6.8199180984729796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7409320167226654E-2"/>
                  <c:y val="-9.471314405027096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3.6813058042011446E-3"/>
                  <c:y val="-9.1317333232505474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1989</c:v>
                </c:pt>
                <c:pt idx="1">
                  <c:v>1992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23.6</c:v>
                </c:pt>
                <c:pt idx="1">
                  <c:v>23.1</c:v>
                </c:pt>
                <c:pt idx="2">
                  <c:v>18.7</c:v>
                </c:pt>
                <c:pt idx="3">
                  <c:v>18</c:v>
                </c:pt>
                <c:pt idx="4">
                  <c:v>16.5</c:v>
                </c:pt>
                <c:pt idx="5">
                  <c:v>16.399999999999999</c:v>
                </c:pt>
                <c:pt idx="6">
                  <c:v>15.8</c:v>
                </c:pt>
                <c:pt idx="7">
                  <c:v>15.1</c:v>
                </c:pt>
                <c:pt idx="8">
                  <c:v>14.5</c:v>
                </c:pt>
                <c:pt idx="9">
                  <c:v>14</c:v>
                </c:pt>
                <c:pt idx="10">
                  <c:v>13.7</c:v>
                </c:pt>
                <c:pt idx="11">
                  <c:v>13.8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65 лет и старше</c:v>
                </c:pt>
              </c:strCache>
            </c:strRef>
          </c:tx>
          <c:spPr>
            <a:ln w="38099">
              <a:solidFill>
                <a:srgbClr val="FF00FF"/>
              </a:solidFill>
              <a:prstDash val="solid"/>
            </a:ln>
          </c:spPr>
          <c:marker>
            <c:symbol val="x"/>
            <c:size val="4"/>
            <c:spPr>
              <a:solidFill>
                <a:srgbClr val="FF00FF"/>
              </a:solidFill>
              <a:ln>
                <a:solidFill>
                  <a:srgbClr val="FF99CC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dLbls>
            <c:dLbl>
              <c:idx val="0"/>
              <c:layout>
                <c:manualLayout>
                  <c:x val="-1.684215780519293E-2"/>
                  <c:y val="6.215188647637545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4534878384501551E-2"/>
                  <c:y val="3.896837265089764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7113592449152185E-2"/>
                  <c:y val="3.955594626301976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9692306513803059E-2"/>
                  <c:y val="4.432340075137680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3899685073567746E-2"/>
                  <c:y val="6.946613185956801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8107063633332423E-2"/>
                  <c:y val="6.061745643139131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602779724195711E-2"/>
                  <c:y val="5.8559990925503978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6.9120186035394934E-4"/>
                  <c:y val="6.8062424969988128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8985804201185264E-3"/>
                  <c:y val="6.6004959464100635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7.4772944847692141E-3"/>
                  <c:y val="5.6470462200628249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1.49420020347618E-2"/>
                  <c:y val="7.142534914228174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5.3099702993150404E-3"/>
                  <c:y val="5.2388829547567073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1989</c:v>
                </c:pt>
                <c:pt idx="1">
                  <c:v>1992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6.3</c:v>
                </c:pt>
                <c:pt idx="1">
                  <c:v>7.3</c:v>
                </c:pt>
                <c:pt idx="2">
                  <c:v>9</c:v>
                </c:pt>
                <c:pt idx="3">
                  <c:v>8.9</c:v>
                </c:pt>
                <c:pt idx="4">
                  <c:v>9.4</c:v>
                </c:pt>
                <c:pt idx="5">
                  <c:v>9.5</c:v>
                </c:pt>
                <c:pt idx="6">
                  <c:v>9.8000000000000007</c:v>
                </c:pt>
                <c:pt idx="7">
                  <c:v>10.200000000000001</c:v>
                </c:pt>
                <c:pt idx="8">
                  <c:v>10.5</c:v>
                </c:pt>
                <c:pt idx="9">
                  <c:v>10.7</c:v>
                </c:pt>
                <c:pt idx="10">
                  <c:v>10.9</c:v>
                </c:pt>
                <c:pt idx="11">
                  <c:v>10.7</c:v>
                </c:pt>
              </c:numCache>
            </c:numRef>
          </c:val>
          <c:smooth val="1"/>
        </c:ser>
        <c:marker val="1"/>
        <c:axId val="126036608"/>
        <c:axId val="126058880"/>
      </c:lineChart>
      <c:catAx>
        <c:axId val="126036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058880"/>
        <c:crosses val="autoZero"/>
        <c:auto val="1"/>
        <c:lblAlgn val="ctr"/>
        <c:lblOffset val="100"/>
        <c:tickLblSkip val="1"/>
        <c:tickMarkSkip val="1"/>
      </c:catAx>
      <c:valAx>
        <c:axId val="1260588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Удельный вес (%) в структуре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1.6326530612244903E-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036608"/>
        <c:crosses val="autoZero"/>
        <c:crossBetween val="between"/>
      </c:valAx>
      <c:spPr>
        <a:gradFill rotWithShape="0">
          <a:gsLst>
            <a:gs pos="0">
              <a:srgbClr val="CCCCFF"/>
            </a:gs>
            <a:gs pos="100000">
              <a:srgbClr val="CCCCFF">
                <a:gamma/>
                <a:tint val="33725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79153094462601"/>
          <c:y val="0.6489795918367347"/>
          <c:w val="0.14820846905537477"/>
          <c:h val="0.23265306122448967"/>
        </c:manualLayout>
      </c:layout>
      <c:spPr>
        <a:gradFill rotWithShape="0">
          <a:gsLst>
            <a:gs pos="0">
              <a:srgbClr val="CCCCFF"/>
            </a:gs>
            <a:gs pos="100000">
              <a:srgbClr val="CCCCFF">
                <a:gamma/>
                <a:tint val="33725"/>
                <a:invGamma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CCCCFF"/>
        </a:gs>
        <a:gs pos="100000">
          <a:srgbClr val="CCCCFF">
            <a:gamma/>
            <a:tint val="33725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785440613026906E-2"/>
          <c:y val="3.9525691699604744E-2"/>
          <c:w val="0.85632183908046022"/>
          <c:h val="0.62450592885375489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смертность от новообразований</c:v>
                </c:pt>
              </c:strCache>
            </c:strRef>
          </c:tx>
          <c:spPr>
            <a:ln w="38088">
              <a:solidFill>
                <a:srgbClr val="339966"/>
              </a:solidFill>
              <a:prstDash val="lgDash"/>
            </a:ln>
          </c:spPr>
          <c:marker>
            <c:symbol val="square"/>
            <c:size val="3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22858190820519E-2"/>
                  <c:y val="-5.055908295799467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1601557972222617E-2"/>
                  <c:y val="-6.485140098694609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3300007190571206E-2"/>
                  <c:y val="-6.845647505524267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224003306301769E-2"/>
                  <c:y val="-6.987940405981274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9.6553493426733742E-4"/>
                  <c:y val="3.725121101919043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1.3721617374960712E-2"/>
                  <c:y val="-5.40691273799707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9.2516815615833088E-3"/>
                  <c:y val="-5.4069127379970792E-2"/>
                </c:manualLayout>
              </c:layout>
              <c:dLblPos val="r"/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339966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1.6400000000000001</c:v>
                </c:pt>
                <c:pt idx="1">
                  <c:v>2.0099999999999998</c:v>
                </c:pt>
                <c:pt idx="2">
                  <c:v>1.6</c:v>
                </c:pt>
                <c:pt idx="3">
                  <c:v>1.8</c:v>
                </c:pt>
                <c:pt idx="4">
                  <c:v>1.77</c:v>
                </c:pt>
                <c:pt idx="5">
                  <c:v>1.8</c:v>
                </c:pt>
                <c:pt idx="6">
                  <c:v>1.8</c:v>
                </c:pt>
                <c:pt idx="7">
                  <c:v>1.9000000000000001</c:v>
                </c:pt>
                <c:pt idx="8">
                  <c:v>1.8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смертность от травм и отравлений</c:v>
                </c:pt>
              </c:strCache>
            </c:strRef>
          </c:tx>
          <c:spPr>
            <a:ln w="38088">
              <a:solidFill>
                <a:srgbClr val="0000FF"/>
              </a:solidFill>
              <a:prstDash val="sysDash"/>
            </a:ln>
          </c:spPr>
          <c:marker>
            <c:symbol val="triangle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1336380139415401E-2"/>
                  <c:y val="5.461064943127426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6444988387340884E-2"/>
                  <c:y val="-4.540484715745628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6.2204740287681727E-2"/>
                  <c:y val="-2.791870255027860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8577716351699085E-2"/>
                  <c:y val="-4.29068835408393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2192071726061484E-2"/>
                  <c:y val="5.214436236343069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0059300663642216E-2"/>
                  <c:y val="2.7986422595683506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7505073662525371E-2"/>
                  <c:y val="3.5891560935604534E-2"/>
                </c:manualLayout>
              </c:layout>
              <c:dLblPos val="r"/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1.08</c:v>
                </c:pt>
                <c:pt idx="1">
                  <c:v>1.36</c:v>
                </c:pt>
                <c:pt idx="2">
                  <c:v>1.43</c:v>
                </c:pt>
                <c:pt idx="3">
                  <c:v>1.37</c:v>
                </c:pt>
                <c:pt idx="4">
                  <c:v>1.26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1.2</c:v>
                </c:pt>
                <c:pt idx="8">
                  <c:v>1.1000000000000001</c:v>
                </c:pt>
              </c:numCache>
            </c:numRef>
          </c:val>
        </c:ser>
        <c:marker val="1"/>
        <c:axId val="125947904"/>
        <c:axId val="125949440"/>
      </c:lineChart>
      <c:lineChart>
        <c:grouping val="standard"/>
        <c:ser>
          <c:idx val="0"/>
          <c:order val="1"/>
          <c:tx>
            <c:strRef>
              <c:f>Sheet1!$A$3</c:f>
              <c:strCache>
                <c:ptCount val="1"/>
                <c:pt idx="0">
                  <c:v>смертность от сердечно-сосудистых заболеваний</c:v>
                </c:pt>
              </c:strCache>
            </c:strRef>
          </c:tx>
          <c:spPr>
            <a:ln w="38088">
              <a:solidFill>
                <a:srgbClr val="FF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746341825239155E-2"/>
                  <c:y val="-5.43854194002835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1770658885425117E-2"/>
                  <c:y val="5.233394818864941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9637690479252646E-2"/>
                  <c:y val="3.299277558155537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1.3146421579335286E-2"/>
                  <c:y val="9.4881971831466926E-3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901199509770895E-2"/>
                  <c:y val="-1.132835830600426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580642710042378E-2"/>
                  <c:y val="2.1187995416582905E-2"/>
                </c:manualLayout>
              </c:layout>
              <c:dLblPos val="r"/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5.1899999999999995</c:v>
                </c:pt>
                <c:pt idx="1">
                  <c:v>5.1899999999999995</c:v>
                </c:pt>
                <c:pt idx="2">
                  <c:v>5.21</c:v>
                </c:pt>
                <c:pt idx="3">
                  <c:v>5.22</c:v>
                </c:pt>
                <c:pt idx="4">
                  <c:v>5.92</c:v>
                </c:pt>
                <c:pt idx="5">
                  <c:v>5.4</c:v>
                </c:pt>
                <c:pt idx="6">
                  <c:v>5.5</c:v>
                </c:pt>
                <c:pt idx="7">
                  <c:v>4.9000000000000004</c:v>
                </c:pt>
                <c:pt idx="8">
                  <c:v>5.4</c:v>
                </c:pt>
              </c:numCache>
            </c:numRef>
          </c:val>
        </c:ser>
        <c:marker val="1"/>
        <c:axId val="125951360"/>
        <c:axId val="126223488"/>
      </c:lineChart>
      <c:catAx>
        <c:axId val="12594790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5949440"/>
        <c:crosses val="autoZero"/>
        <c:lblAlgn val="ctr"/>
        <c:lblOffset val="100"/>
        <c:tickLblSkip val="1"/>
        <c:tickMarkSkip val="1"/>
      </c:catAx>
      <c:valAx>
        <c:axId val="1259494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Смертность на 1000 чел</a:t>
                </a:r>
              </a:p>
            </c:rich>
          </c:tx>
          <c:layout>
            <c:manualLayout>
              <c:xMode val="edge"/>
              <c:yMode val="edge"/>
              <c:x val="7.6628352490421452E-3"/>
              <c:y val="9.4861660079051502E-2"/>
            </c:manualLayout>
          </c:layout>
          <c:spPr>
            <a:noFill/>
            <a:ln w="25392">
              <a:noFill/>
            </a:ln>
          </c:spPr>
        </c:title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5947904"/>
        <c:crosses val="autoZero"/>
        <c:crossBetween val="between"/>
      </c:valAx>
      <c:catAx>
        <c:axId val="125951360"/>
        <c:scaling>
          <c:orientation val="minMax"/>
        </c:scaling>
        <c:delete val="1"/>
        <c:axPos val="b"/>
        <c:numFmt formatCode="General" sourceLinked="1"/>
        <c:tickLblPos val="nextTo"/>
        <c:crossAx val="126223488"/>
        <c:crossesAt val="5"/>
        <c:lblAlgn val="ctr"/>
        <c:lblOffset val="100"/>
      </c:catAx>
      <c:valAx>
        <c:axId val="126223488"/>
        <c:scaling>
          <c:orientation val="minMax"/>
          <c:max val="6"/>
          <c:min val="4.5"/>
        </c:scaling>
        <c:axPos val="r"/>
        <c:numFmt formatCode="General" sourceLinked="1"/>
        <c:majorTickMark val="cross"/>
        <c:tickLblPos val="nextTo"/>
        <c:spPr>
          <a:ln w="9522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5951360"/>
        <c:crosses val="max"/>
        <c:crossBetween val="between"/>
      </c:valAx>
      <c:spPr>
        <a:gradFill rotWithShape="0">
          <a:gsLst>
            <a:gs pos="0">
              <a:srgbClr val="00CCFF"/>
            </a:gs>
            <a:gs pos="50000">
              <a:srgbClr val="CCFFFF"/>
            </a:gs>
            <a:gs pos="100000">
              <a:srgbClr val="00CCFF"/>
            </a:gs>
          </a:gsLst>
          <a:lin ang="5400000" scaled="1"/>
        </a:gradFill>
        <a:ln w="1269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030651340996169"/>
          <c:y val="0.84584980237154272"/>
          <c:w val="0.67241379310344862"/>
          <c:h val="0.15810276679841898"/>
        </c:manualLayout>
      </c:layout>
      <c:spPr>
        <a:solidFill>
          <a:srgbClr val="CCFFFF"/>
        </a:solidFill>
        <a:ln w="3174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99CCFF">
            <a:gamma/>
            <a:shade val="84314"/>
            <a:invGamma/>
          </a:srgbClr>
        </a:gs>
        <a:gs pos="50000">
          <a:srgbClr val="99CCFF"/>
        </a:gs>
        <a:gs pos="100000">
          <a:srgbClr val="99CCFF">
            <a:gamma/>
            <a:shade val="84314"/>
            <a:invGamma/>
          </a:srgbClr>
        </a:gs>
      </a:gsLst>
      <a:lin ang="5400000" scaled="1"/>
    </a:gradFill>
    <a:ln w="3174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0090090090090225E-2"/>
          <c:y val="4.8327137546468404E-2"/>
          <c:w val="0.89549549549549601"/>
          <c:h val="0.7211895910780669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смертность от болезней органов пищеварения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10544953705708E-2"/>
                  <c:y val="2.869395093051518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469101001217219E-2"/>
                  <c:y val="3.300619480765338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1898192108909026E-2"/>
                  <c:y val="-4.6398858574944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090736182492874E-2"/>
                  <c:y val="-4.952155893572423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096525903647087E-2"/>
                  <c:y val="-5.561836428918623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105509802186106E-2"/>
                  <c:y val="-5.695650317364246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0.26</c:v>
                </c:pt>
                <c:pt idx="1">
                  <c:v>0.33000000000000035</c:v>
                </c:pt>
                <c:pt idx="2">
                  <c:v>0.36000000000000021</c:v>
                </c:pt>
                <c:pt idx="3">
                  <c:v>0.43000000000000022</c:v>
                </c:pt>
                <c:pt idx="4">
                  <c:v>0.4</c:v>
                </c:pt>
                <c:pt idx="5">
                  <c:v>0.43000000000000022</c:v>
                </c:pt>
                <c:pt idx="6">
                  <c:v>0.46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смертность от болезней органов дыхания</c:v>
                </c:pt>
              </c:strCache>
            </c:strRef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709053140660695E-2"/>
                  <c:y val="-4.729095116458169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5321640642802927E-2"/>
                  <c:y val="3.419573832401147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6492786703503655E-2"/>
                  <c:y val="-5.264401309471761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1898352815919698E-2"/>
                  <c:y val="-4.416825080380162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096525903647139E-2"/>
                  <c:y val="-4.015345785338403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105509802186106E-2"/>
                  <c:y val="-4.193801932970778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0907286493517291E-2"/>
                  <c:y val="-5.2197966799898902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0.38000000000000023</c:v>
                </c:pt>
                <c:pt idx="1">
                  <c:v>0.47000000000000008</c:v>
                </c:pt>
                <c:pt idx="2">
                  <c:v>0.25</c:v>
                </c:pt>
                <c:pt idx="3">
                  <c:v>0.31000000000000022</c:v>
                </c:pt>
                <c:pt idx="4">
                  <c:v>0.22</c:v>
                </c:pt>
                <c:pt idx="5">
                  <c:v>0.26</c:v>
                </c:pt>
                <c:pt idx="6">
                  <c:v>0.2400000000000001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смертость от инфекционных заболеваний</c:v>
                </c:pt>
              </c:strCache>
            </c:strRef>
          </c:tx>
          <c:spPr>
            <a:ln w="25399">
              <a:solidFill>
                <a:srgbClr val="339966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1087431519039041E-2"/>
                  <c:y val="2.705836111933828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928560460676677E-2"/>
                  <c:y val="2.334088900037906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4690984901701931E-2"/>
                  <c:y val="2.988374064865976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700154617721335E-2"/>
                  <c:y val="3.731868488657797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294724101845303E-2"/>
                  <c:y val="3.211434841980245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1087491784167953E-2"/>
                  <c:y val="3.1667925827934783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0.13</c:v>
                </c:pt>
                <c:pt idx="1">
                  <c:v>0.13</c:v>
                </c:pt>
                <c:pt idx="2">
                  <c:v>0.15000000000000011</c:v>
                </c:pt>
                <c:pt idx="3">
                  <c:v>0.15000000000000011</c:v>
                </c:pt>
                <c:pt idx="4">
                  <c:v>0.1</c:v>
                </c:pt>
                <c:pt idx="5">
                  <c:v>0.11</c:v>
                </c:pt>
                <c:pt idx="6">
                  <c:v>0.1</c:v>
                </c:pt>
              </c:numCache>
            </c:numRef>
          </c:val>
          <c:smooth val="1"/>
        </c:ser>
        <c:marker val="1"/>
        <c:axId val="123161600"/>
        <c:axId val="123187968"/>
      </c:lineChart>
      <c:catAx>
        <c:axId val="1231616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3187968"/>
        <c:crosses val="autoZero"/>
        <c:lblAlgn val="ctr"/>
        <c:lblOffset val="100"/>
        <c:tickLblSkip val="1"/>
        <c:tickMarkSkip val="1"/>
      </c:catAx>
      <c:valAx>
        <c:axId val="1231879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Смертность на 1000 чел.</a:t>
                </a:r>
              </a:p>
            </c:rich>
          </c:tx>
          <c:layout>
            <c:manualLayout>
              <c:xMode val="edge"/>
              <c:yMode val="edge"/>
              <c:x val="0"/>
              <c:y val="0.16356877323420072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316160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9459459459459472"/>
          <c:y val="0.85501858736059522"/>
          <c:w val="0.59639639639639641"/>
          <c:h val="0.14869888475836449"/>
        </c:manualLayout>
      </c:layout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CC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6.4814814814814867E-2"/>
          <c:y val="7.9051383399209488E-2"/>
          <c:w val="0.40740740740740738"/>
          <c:h val="0.541501976284585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0"/>
          <c:dPt>
            <c:idx val="0"/>
            <c:explosion val="2"/>
            <c:spPr>
              <a:gradFill rotWithShape="0">
                <a:gsLst>
                  <a:gs pos="0">
                    <a:srgbClr val="FF9900"/>
                  </a:gs>
                  <a:gs pos="100000">
                    <a:srgbClr val="FF0000"/>
                  </a:gs>
                </a:gsLst>
                <a:path path="rect">
                  <a:fillToRect l="100000" b="100000"/>
                </a:path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FF99CC"/>
                  </a:gs>
                  <a:gs pos="100000">
                    <a:srgbClr val="FF99CC">
                      <a:gamma/>
                      <a:shade val="46275"/>
                      <a:invGamma/>
                    </a:srgbClr>
                  </a:gs>
                </a:gsLst>
                <a:path path="rect">
                  <a:fillToRect t="100000" r="100000"/>
                </a:path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339966"/>
                  </a:gs>
                  <a:gs pos="100000">
                    <a:srgbClr val="339966">
                      <a:gamma/>
                      <a:shade val="89020"/>
                      <a:invGamma/>
                    </a:srgbClr>
                  </a:gs>
                </a:gsLst>
                <a:path path="rect">
                  <a:fillToRect r="100000" b="100000"/>
                </a:path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00CCFF"/>
                  </a:gs>
                  <a:gs pos="100000">
                    <a:srgbClr val="00CCFF">
                      <a:gamma/>
                      <a:shade val="60000"/>
                      <a:invGamma/>
                    </a:srgbClr>
                  </a:gs>
                </a:gsLst>
                <a:path path="rect">
                  <a:fillToRect r="100000" b="100000"/>
                </a:path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gradFill rotWithShape="0">
                <a:gsLst>
                  <a:gs pos="0">
                    <a:srgbClr val="FFCC00"/>
                  </a:gs>
                  <a:gs pos="100000">
                    <a:srgbClr val="FF9900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357657414035368"/>
                  <c:y val="-8.4736290468688552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Percent val="1"/>
            </c:dLbl>
            <c:dLbl>
              <c:idx val="1"/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Percent val="1"/>
            </c:dLbl>
            <c:dLbl>
              <c:idx val="2"/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Percent val="1"/>
            </c:dLbl>
            <c:dLbl>
              <c:idx val="3"/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Percent val="1"/>
            </c:dLbl>
            <c:dLbl>
              <c:idx val="4"/>
              <c:layout>
                <c:manualLayout>
                  <c:x val="7.1720183461915804E-2"/>
                  <c:y val="-5.3039736449631801E-2"/>
                </c:manualLayout>
              </c:layout>
              <c:numFmt formatCode="0%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Percent val="1"/>
            </c:dLbl>
            <c:delete val="1"/>
          </c:dLbls>
          <c:cat>
            <c:strRef>
              <c:f>Sheet1!$B$1:$F$1</c:f>
              <c:strCache>
                <c:ptCount val="5"/>
                <c:pt idx="0">
                  <c:v>Болезни системы кровообращения</c:v>
                </c:pt>
                <c:pt idx="1">
                  <c:v>Новообразования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Прочие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1993</c:v>
                </c:pt>
                <c:pt idx="1">
                  <c:v>657</c:v>
                </c:pt>
                <c:pt idx="2">
                  <c:v>417</c:v>
                </c:pt>
                <c:pt idx="3">
                  <c:v>172</c:v>
                </c:pt>
                <c:pt idx="4">
                  <c:v>621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3.7037037037037056E-2"/>
          <c:y val="0.6640316205533604"/>
          <c:w val="0.40925925925925932"/>
          <c:h val="0.33992094861660116"/>
        </c:manualLayout>
      </c:layout>
      <c:spPr>
        <a:noFill/>
        <a:ln w="25399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gradFill rotWithShape="0">
      <a:gsLst>
        <a:gs pos="0">
          <a:srgbClr val="00FFFF">
            <a:gamma/>
            <a:tint val="46667"/>
            <a:invGamma/>
          </a:srgbClr>
        </a:gs>
        <a:gs pos="50000">
          <a:srgbClr val="00FFFF"/>
        </a:gs>
        <a:gs pos="100000">
          <a:srgbClr val="00FFFF">
            <a:gamma/>
            <a:tint val="46667"/>
            <a:invGamma/>
          </a:srgbClr>
        </a:gs>
      </a:gsLst>
      <a:lin ang="54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2623</Words>
  <Characters>14955</Characters>
  <Application>Microsoft Office Word</Application>
  <DocSecurity>0</DocSecurity>
  <Lines>124</Lines>
  <Paragraphs>35</Paragraphs>
  <ScaleCrop>false</ScaleCrop>
  <Company>Korn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Igo</cp:lastModifiedBy>
  <cp:revision>2</cp:revision>
  <dcterms:created xsi:type="dcterms:W3CDTF">2009-06-26T16:27:00Z</dcterms:created>
  <dcterms:modified xsi:type="dcterms:W3CDTF">2009-06-26T16:32:00Z</dcterms:modified>
</cp:coreProperties>
</file>